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C1BF" w14:textId="2C96E710" w:rsidR="00920F45" w:rsidRDefault="007B5904">
      <w:pPr>
        <w:spacing w:after="120" w:line="273" w:lineRule="auto"/>
        <w:rPr>
          <w:b/>
          <w:sz w:val="28"/>
          <w:szCs w:val="28"/>
        </w:rPr>
      </w:pPr>
      <w:r>
        <w:rPr>
          <w:b/>
          <w:noProof/>
          <w:sz w:val="28"/>
          <w:szCs w:val="28"/>
        </w:rPr>
        <w:drawing>
          <wp:inline distT="114300" distB="114300" distL="114300" distR="114300" wp14:anchorId="0F2D9529" wp14:editId="62C00F9F">
            <wp:extent cx="2152650" cy="8286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52650" cy="828675"/>
                    </a:xfrm>
                    <a:prstGeom prst="rect">
                      <a:avLst/>
                    </a:prstGeom>
                    <a:ln/>
                  </pic:spPr>
                </pic:pic>
              </a:graphicData>
            </a:graphic>
          </wp:inline>
        </w:drawing>
      </w:r>
    </w:p>
    <w:p w14:paraId="705EB3D2" w14:textId="77777777" w:rsidR="00920F45" w:rsidRDefault="00920F45">
      <w:pPr>
        <w:spacing w:after="300" w:line="248" w:lineRule="auto"/>
        <w:rPr>
          <w:sz w:val="23"/>
          <w:szCs w:val="23"/>
        </w:rPr>
      </w:pPr>
    </w:p>
    <w:p w14:paraId="7C256DA8" w14:textId="77777777" w:rsidR="00920F45" w:rsidRDefault="007B5904">
      <w:pPr>
        <w:spacing w:after="300" w:line="248" w:lineRule="auto"/>
        <w:jc w:val="center"/>
        <w:rPr>
          <w:b/>
          <w:sz w:val="32"/>
          <w:szCs w:val="32"/>
        </w:rPr>
      </w:pPr>
      <w:r>
        <w:rPr>
          <w:b/>
          <w:sz w:val="32"/>
          <w:szCs w:val="32"/>
        </w:rPr>
        <w:t>CARBON REDUCTION PLAN GUIDANCE</w:t>
      </w:r>
    </w:p>
    <w:p w14:paraId="42ECB54D" w14:textId="77777777" w:rsidR="00920F45" w:rsidRDefault="007B5904">
      <w:pPr>
        <w:pStyle w:val="Heading1"/>
        <w:spacing w:before="360" w:line="248" w:lineRule="auto"/>
        <w:rPr>
          <w:b/>
          <w:sz w:val="28"/>
          <w:szCs w:val="28"/>
        </w:rPr>
      </w:pPr>
      <w:bookmarkStart w:id="0" w:name="_30j0zll" w:colFirst="0" w:colLast="0"/>
      <w:bookmarkEnd w:id="0"/>
      <w:r>
        <w:rPr>
          <w:b/>
          <w:sz w:val="28"/>
          <w:szCs w:val="28"/>
        </w:rPr>
        <w:t>Notes for Completion</w:t>
      </w:r>
    </w:p>
    <w:p w14:paraId="0DF41AC6" w14:textId="77777777" w:rsidR="00920F45" w:rsidRDefault="007B5904">
      <w:pPr>
        <w:spacing w:after="120" w:line="273" w:lineRule="auto"/>
        <w:jc w:val="both"/>
      </w:pPr>
      <w:r>
        <w:t xml:space="preserve">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p>
    <w:p w14:paraId="68B3E290" w14:textId="77777777" w:rsidR="00920F45" w:rsidRDefault="007B5904">
      <w:pPr>
        <w:spacing w:after="120" w:line="273" w:lineRule="auto"/>
        <w:jc w:val="both"/>
      </w:pPr>
      <w:r>
        <w:t xml:space="preserve">Carbon Reduction Plans are to be completed by the bidding supplier entity and must meet the reporting requirements set out in supporting </w:t>
      </w:r>
      <w:proofErr w:type="gramStart"/>
      <w:r>
        <w:t>guidance, and</w:t>
      </w:r>
      <w:proofErr w:type="gramEnd"/>
      <w:r>
        <w:t xml:space="preserve"> include the supplier’s current carbon footprint and its commitment to reducing emissions to achieve Net Zero emissions by 2050.</w:t>
      </w:r>
    </w:p>
    <w:p w14:paraId="2196F341" w14:textId="4D0CA581" w:rsidR="00B444AC" w:rsidRDefault="007B5904">
      <w:pPr>
        <w:spacing w:after="120" w:line="273" w:lineRule="auto"/>
        <w:jc w:val="both"/>
      </w:pPr>
      <w:r>
        <w:t xml:space="preserve">The Carbon Reduction Plan should </w:t>
      </w:r>
      <w:proofErr w:type="gramStart"/>
      <w:r w:rsidR="00B444AC">
        <w:t>be:-</w:t>
      </w:r>
      <w:proofErr w:type="gramEnd"/>
    </w:p>
    <w:p w14:paraId="7DA118C5" w14:textId="158B09E1" w:rsidR="00B444AC" w:rsidRDefault="007B5904" w:rsidP="00B444AC">
      <w:pPr>
        <w:pStyle w:val="ListParagraph"/>
        <w:numPr>
          <w:ilvl w:val="0"/>
          <w:numId w:val="3"/>
        </w:numPr>
        <w:spacing w:after="120" w:line="273" w:lineRule="auto"/>
        <w:jc w:val="both"/>
      </w:pPr>
      <w:r>
        <w:t>updated regularly (at least annually)</w:t>
      </w:r>
    </w:p>
    <w:p w14:paraId="4468F67C" w14:textId="77777777" w:rsidR="00B444AC" w:rsidRDefault="007B5904" w:rsidP="00B444AC">
      <w:pPr>
        <w:pStyle w:val="ListParagraph"/>
        <w:numPr>
          <w:ilvl w:val="0"/>
          <w:numId w:val="3"/>
        </w:numPr>
        <w:spacing w:after="120" w:line="273" w:lineRule="auto"/>
        <w:jc w:val="both"/>
      </w:pPr>
      <w:r>
        <w:t xml:space="preserve">published and clearly signposted on the supplier’s UK website. </w:t>
      </w:r>
    </w:p>
    <w:p w14:paraId="2C7F2D29" w14:textId="77777777" w:rsidR="00B444AC" w:rsidRDefault="007B5904" w:rsidP="00B444AC">
      <w:pPr>
        <w:pStyle w:val="ListParagraph"/>
        <w:numPr>
          <w:ilvl w:val="0"/>
          <w:numId w:val="3"/>
        </w:numPr>
        <w:spacing w:after="120" w:line="273" w:lineRule="auto"/>
        <w:jc w:val="both"/>
      </w:pPr>
      <w:r>
        <w:t xml:space="preserve">approved by a director (or equivalent senior leadership) within the supplier’s organisation to demonstrate a clear commitment to emissions reduction at the highest level. </w:t>
      </w:r>
    </w:p>
    <w:p w14:paraId="580796D6" w14:textId="79362039" w:rsidR="00920F45" w:rsidRDefault="007B5904">
      <w:pPr>
        <w:spacing w:after="120" w:line="273" w:lineRule="auto"/>
        <w:jc w:val="both"/>
      </w:pPr>
      <w:r>
        <w:t xml:space="preserve">Suppliers may wish to adopt the key objectives of the Carbon Reduction Plan within their strategic plans. </w:t>
      </w:r>
    </w:p>
    <w:p w14:paraId="3A8055BC" w14:textId="77777777" w:rsidR="00B444AC" w:rsidRDefault="007B5904">
      <w:pPr>
        <w:spacing w:after="120" w:line="273" w:lineRule="auto"/>
        <w:jc w:val="both"/>
      </w:pPr>
      <w:r>
        <w:t xml:space="preserve">A template for the Carbon Reduction Plan is set out below. </w:t>
      </w:r>
    </w:p>
    <w:p w14:paraId="7CDB76DB" w14:textId="77777777" w:rsidR="00920F45" w:rsidRDefault="007B5904">
      <w:pPr>
        <w:spacing w:after="120" w:line="273" w:lineRule="auto"/>
        <w:jc w:val="both"/>
        <w:rPr>
          <w:b/>
          <w:bCs/>
        </w:rPr>
      </w:pPr>
      <w:r w:rsidRPr="00B444AC">
        <w:rPr>
          <w:b/>
          <w:bCs/>
        </w:rPr>
        <w:t>Please complete and publish your Carbon Reduction Plan in accordance with the reporting standard published alongside this PPN.</w:t>
      </w:r>
    </w:p>
    <w:p w14:paraId="3632787E" w14:textId="22B6EF29" w:rsidR="00B444AC" w:rsidRPr="00B444AC" w:rsidRDefault="00B444AC">
      <w:pPr>
        <w:spacing w:after="120" w:line="273" w:lineRule="auto"/>
        <w:jc w:val="both"/>
        <w:rPr>
          <w:b/>
          <w:bCs/>
        </w:rPr>
        <w:sectPr w:rsidR="00B444AC" w:rsidRPr="00B444AC">
          <w:headerReference w:type="default" r:id="rId9"/>
          <w:pgSz w:w="11909" w:h="16834"/>
          <w:pgMar w:top="1440" w:right="1440" w:bottom="1440" w:left="1440" w:header="720" w:footer="720" w:gutter="0"/>
          <w:pgNumType w:start="1"/>
          <w:cols w:space="720"/>
        </w:sectPr>
      </w:pPr>
      <w:hyperlink r:id="rId10" w:history="1">
        <w:r w:rsidRPr="00B444AC">
          <w:rPr>
            <w:color w:val="0000FF"/>
            <w:u w:val="single"/>
          </w:rPr>
          <w:t>Procurement Policy Note 06/21: Taking account of Carbon Reduction Plans in the procurement of major government contracts - GOV.UK (www.gov.uk)</w:t>
        </w:r>
      </w:hyperlink>
    </w:p>
    <w:p w14:paraId="49455111" w14:textId="77777777" w:rsidR="00920F45" w:rsidRDefault="007B5904">
      <w:pPr>
        <w:pStyle w:val="Title"/>
        <w:spacing w:after="120" w:line="273" w:lineRule="auto"/>
        <w:jc w:val="center"/>
      </w:pPr>
      <w:bookmarkStart w:id="1" w:name="_1fob9te" w:colFirst="0" w:colLast="0"/>
      <w:bookmarkEnd w:id="1"/>
      <w:r>
        <w:lastRenderedPageBreak/>
        <w:t>Carbon Reduction Plan Template</w:t>
      </w:r>
    </w:p>
    <w:p w14:paraId="0343C41C" w14:textId="6DE79FEF" w:rsidR="00920F45" w:rsidRDefault="007B5904">
      <w:pPr>
        <w:spacing w:after="120" w:line="273" w:lineRule="auto"/>
        <w:jc w:val="both"/>
      </w:pPr>
      <w:r>
        <w:rPr>
          <w:sz w:val="28"/>
          <w:szCs w:val="28"/>
        </w:rPr>
        <w:t>Supplier name:</w:t>
      </w:r>
      <w:r>
        <w:t xml:space="preserve"> </w:t>
      </w:r>
      <w:r w:rsidR="00DD3D1D">
        <w:t>Walker Construction (UK) Ltd.</w:t>
      </w:r>
    </w:p>
    <w:p w14:paraId="59C70BDC" w14:textId="3B760CC5" w:rsidR="00920F45" w:rsidRDefault="007B5904">
      <w:pPr>
        <w:spacing w:after="120" w:line="273" w:lineRule="auto"/>
        <w:jc w:val="both"/>
      </w:pPr>
      <w:r>
        <w:rPr>
          <w:sz w:val="28"/>
          <w:szCs w:val="28"/>
        </w:rPr>
        <w:t>Publication date:</w:t>
      </w:r>
      <w:r>
        <w:t xml:space="preserve"> </w:t>
      </w:r>
      <w:r w:rsidR="003B3884">
        <w:t>9</w:t>
      </w:r>
      <w:r w:rsidR="003B3884" w:rsidRPr="003B3884">
        <w:rPr>
          <w:vertAlign w:val="superscript"/>
        </w:rPr>
        <w:t>th</w:t>
      </w:r>
      <w:r w:rsidR="003B3884">
        <w:t xml:space="preserve"> April</w:t>
      </w:r>
      <w:r w:rsidR="009C193D">
        <w:t xml:space="preserve"> 2025</w:t>
      </w:r>
    </w:p>
    <w:p w14:paraId="28067A34" w14:textId="77777777" w:rsidR="000E6C94" w:rsidRDefault="007B5904" w:rsidP="009C193D">
      <w:pPr>
        <w:pStyle w:val="Heading1"/>
        <w:spacing w:before="360" w:line="273" w:lineRule="auto"/>
        <w:jc w:val="both"/>
        <w:rPr>
          <w:b/>
          <w:sz w:val="28"/>
          <w:szCs w:val="28"/>
        </w:rPr>
      </w:pPr>
      <w:bookmarkStart w:id="2" w:name="_3znysh7" w:colFirst="0" w:colLast="0"/>
      <w:bookmarkEnd w:id="2"/>
      <w:r>
        <w:rPr>
          <w:b/>
          <w:sz w:val="28"/>
          <w:szCs w:val="28"/>
        </w:rPr>
        <w:t>Commitment to achieving Net Zero</w:t>
      </w:r>
      <w:bookmarkStart w:id="3" w:name="_2et92p0" w:colFirst="0" w:colLast="0"/>
      <w:bookmarkEnd w:id="3"/>
    </w:p>
    <w:p w14:paraId="6F553954" w14:textId="262657E4" w:rsidR="00920F45" w:rsidRPr="009C193D" w:rsidRDefault="003A3E65" w:rsidP="009C193D">
      <w:pPr>
        <w:pStyle w:val="Heading1"/>
        <w:spacing w:before="360" w:line="273" w:lineRule="auto"/>
        <w:jc w:val="both"/>
        <w:rPr>
          <w:b/>
          <w:sz w:val="28"/>
          <w:szCs w:val="28"/>
        </w:rPr>
      </w:pPr>
      <w:r>
        <w:rPr>
          <w:b/>
          <w:sz w:val="28"/>
          <w:szCs w:val="28"/>
        </w:rPr>
        <w:t>Walker Construction (UK) Ltd.</w:t>
      </w:r>
      <w:r w:rsidR="009C193D">
        <w:rPr>
          <w:b/>
          <w:sz w:val="28"/>
          <w:szCs w:val="28"/>
        </w:rPr>
        <w:t xml:space="preserve"> </w:t>
      </w:r>
      <w:r w:rsidR="007B5904">
        <w:rPr>
          <w:sz w:val="22"/>
          <w:szCs w:val="22"/>
        </w:rPr>
        <w:t xml:space="preserve">is committed to achieving Net Zero emissions by </w:t>
      </w:r>
      <w:r w:rsidR="007B5904" w:rsidRPr="009C193D">
        <w:rPr>
          <w:b/>
          <w:bCs/>
          <w:color w:val="000000" w:themeColor="text1"/>
          <w:sz w:val="22"/>
          <w:szCs w:val="22"/>
        </w:rPr>
        <w:t>20</w:t>
      </w:r>
      <w:r w:rsidR="009C193D" w:rsidRPr="009C193D">
        <w:rPr>
          <w:b/>
          <w:bCs/>
          <w:color w:val="000000" w:themeColor="text1"/>
          <w:sz w:val="22"/>
          <w:szCs w:val="22"/>
        </w:rPr>
        <w:t>40</w:t>
      </w:r>
      <w:r w:rsidR="007B5904" w:rsidRPr="009C193D">
        <w:rPr>
          <w:b/>
          <w:bCs/>
          <w:color w:val="000000" w:themeColor="text1"/>
          <w:sz w:val="22"/>
          <w:szCs w:val="22"/>
        </w:rPr>
        <w:t>.</w:t>
      </w:r>
      <w:r w:rsidR="007B5904" w:rsidRPr="009C193D">
        <w:rPr>
          <w:color w:val="000000" w:themeColor="text1"/>
          <w:sz w:val="22"/>
          <w:szCs w:val="22"/>
        </w:rPr>
        <w:t xml:space="preserve"> </w:t>
      </w:r>
    </w:p>
    <w:p w14:paraId="33853ED5" w14:textId="77777777" w:rsidR="00920F45" w:rsidRDefault="007B5904">
      <w:pPr>
        <w:pStyle w:val="Heading1"/>
        <w:spacing w:before="360" w:line="273" w:lineRule="auto"/>
        <w:jc w:val="both"/>
        <w:rPr>
          <w:b/>
          <w:sz w:val="28"/>
          <w:szCs w:val="28"/>
        </w:rPr>
      </w:pPr>
      <w:bookmarkStart w:id="4" w:name="_tyjcwt" w:colFirst="0" w:colLast="0"/>
      <w:bookmarkEnd w:id="4"/>
      <w:r>
        <w:rPr>
          <w:b/>
          <w:sz w:val="28"/>
          <w:szCs w:val="28"/>
        </w:rPr>
        <w:t>Baseline Emissions Footprint</w:t>
      </w:r>
    </w:p>
    <w:p w14:paraId="3A97FD36" w14:textId="3F4C6F86" w:rsidR="00920F45" w:rsidRDefault="007B5904">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49CEEF18" w14:textId="77777777" w:rsidR="00DD4968" w:rsidRDefault="00DD4968"/>
    <w:tbl>
      <w:tblPr>
        <w:tblStyle w:val="a"/>
        <w:tblW w:w="9450" w:type="dxa"/>
        <w:tblBorders>
          <w:top w:val="nil"/>
          <w:left w:val="nil"/>
          <w:bottom w:val="nil"/>
          <w:right w:val="nil"/>
          <w:insideH w:val="nil"/>
          <w:insideV w:val="nil"/>
        </w:tblBorders>
        <w:tblLayout w:type="fixed"/>
        <w:tblLook w:val="0600" w:firstRow="0" w:lastRow="0" w:firstColumn="0" w:lastColumn="0" w:noHBand="1" w:noVBand="1"/>
      </w:tblPr>
      <w:tblGrid>
        <w:gridCol w:w="2130"/>
        <w:gridCol w:w="7320"/>
      </w:tblGrid>
      <w:tr w:rsidR="00920F45" w14:paraId="045A11D0" w14:textId="77777777">
        <w:trPr>
          <w:trHeight w:val="455"/>
        </w:trPr>
        <w:tc>
          <w:tcPr>
            <w:tcW w:w="94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9C4A6" w14:textId="512DC030" w:rsidR="00920F45" w:rsidRDefault="007B5904">
            <w:pPr>
              <w:spacing w:after="120" w:line="273" w:lineRule="auto"/>
              <w:jc w:val="both"/>
              <w:rPr>
                <w:b/>
                <w:color w:val="FF0000"/>
                <w:highlight w:val="yellow"/>
              </w:rPr>
            </w:pPr>
            <w:r>
              <w:rPr>
                <w:b/>
              </w:rPr>
              <w:t>Baseline Year:</w:t>
            </w:r>
            <w:r w:rsidRPr="000E6C94">
              <w:rPr>
                <w:b/>
                <w:color w:val="000000" w:themeColor="text1"/>
              </w:rPr>
              <w:t xml:space="preserve"> </w:t>
            </w:r>
            <w:r w:rsidR="00607C07">
              <w:rPr>
                <w:b/>
                <w:color w:val="000000" w:themeColor="text1"/>
              </w:rPr>
              <w:t xml:space="preserve">January – December </w:t>
            </w:r>
            <w:r w:rsidRPr="000E6C94">
              <w:rPr>
                <w:b/>
                <w:color w:val="000000" w:themeColor="text1"/>
              </w:rPr>
              <w:t>20</w:t>
            </w:r>
            <w:r w:rsidR="000E6C94" w:rsidRPr="000E6C94">
              <w:rPr>
                <w:b/>
                <w:color w:val="000000" w:themeColor="text1"/>
              </w:rPr>
              <w:t>23</w:t>
            </w:r>
          </w:p>
        </w:tc>
      </w:tr>
      <w:tr w:rsidR="00920F45" w14:paraId="01888000" w14:textId="77777777">
        <w:trPr>
          <w:trHeight w:val="455"/>
        </w:trPr>
        <w:tc>
          <w:tcPr>
            <w:tcW w:w="945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4DE64B" w14:textId="77777777" w:rsidR="00920F45" w:rsidRDefault="007B5904">
            <w:pPr>
              <w:spacing w:after="120" w:line="273" w:lineRule="auto"/>
              <w:jc w:val="both"/>
              <w:rPr>
                <w:b/>
              </w:rPr>
            </w:pPr>
            <w:r>
              <w:rPr>
                <w:b/>
              </w:rPr>
              <w:t>Baseline year emissions:</w:t>
            </w:r>
          </w:p>
        </w:tc>
      </w:tr>
      <w:tr w:rsidR="00920F45" w14:paraId="5AD6CF7C" w14:textId="77777777">
        <w:trPr>
          <w:trHeight w:val="740"/>
        </w:trPr>
        <w:tc>
          <w:tcPr>
            <w:tcW w:w="2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A32EAE" w14:textId="77777777" w:rsidR="00920F45" w:rsidRDefault="007B5904">
            <w:pPr>
              <w:spacing w:after="120" w:line="273" w:lineRule="auto"/>
              <w:jc w:val="both"/>
              <w:rPr>
                <w:b/>
              </w:rPr>
            </w:pPr>
            <w:r>
              <w:rPr>
                <w:b/>
              </w:rPr>
              <w:t>EMISSIONS</w:t>
            </w:r>
          </w:p>
        </w:tc>
        <w:tc>
          <w:tcPr>
            <w:tcW w:w="7320" w:type="dxa"/>
            <w:tcBorders>
              <w:top w:val="nil"/>
              <w:left w:val="nil"/>
              <w:bottom w:val="single" w:sz="8" w:space="0" w:color="000000"/>
              <w:right w:val="single" w:sz="20" w:space="0" w:color="000000"/>
            </w:tcBorders>
            <w:tcMar>
              <w:top w:w="100" w:type="dxa"/>
              <w:left w:w="100" w:type="dxa"/>
              <w:bottom w:w="100" w:type="dxa"/>
              <w:right w:w="100" w:type="dxa"/>
            </w:tcMar>
          </w:tcPr>
          <w:p w14:paraId="4B42C044" w14:textId="77777777" w:rsidR="00920F45" w:rsidRDefault="007B5904">
            <w:pPr>
              <w:spacing w:after="120" w:line="273" w:lineRule="auto"/>
              <w:jc w:val="both"/>
              <w:rPr>
                <w:b/>
              </w:rPr>
            </w:pPr>
            <w:r>
              <w:rPr>
                <w:b/>
              </w:rPr>
              <w:t>TOTAL (tCO</w:t>
            </w:r>
            <w:r>
              <w:rPr>
                <w:b/>
                <w:vertAlign w:val="subscript"/>
              </w:rPr>
              <w:t>2</w:t>
            </w:r>
            <w:r>
              <w:rPr>
                <w:b/>
              </w:rPr>
              <w:t>e)</w:t>
            </w:r>
          </w:p>
        </w:tc>
      </w:tr>
      <w:tr w:rsidR="00920F45" w14:paraId="38D975C6" w14:textId="77777777">
        <w:trPr>
          <w:trHeight w:val="455"/>
        </w:trPr>
        <w:tc>
          <w:tcPr>
            <w:tcW w:w="2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E2BFA1" w14:textId="77777777" w:rsidR="00920F45" w:rsidRDefault="007B5904">
            <w:pPr>
              <w:spacing w:after="120" w:line="273" w:lineRule="auto"/>
              <w:jc w:val="both"/>
              <w:rPr>
                <w:b/>
              </w:rPr>
            </w:pPr>
            <w:r>
              <w:rPr>
                <w:b/>
              </w:rPr>
              <w:t>Scope 1</w:t>
            </w:r>
          </w:p>
        </w:tc>
        <w:tc>
          <w:tcPr>
            <w:tcW w:w="7320" w:type="dxa"/>
            <w:tcBorders>
              <w:top w:val="nil"/>
              <w:left w:val="nil"/>
              <w:bottom w:val="single" w:sz="8" w:space="0" w:color="000000"/>
              <w:right w:val="single" w:sz="20" w:space="0" w:color="000000"/>
            </w:tcBorders>
            <w:tcMar>
              <w:top w:w="100" w:type="dxa"/>
              <w:left w:w="100" w:type="dxa"/>
              <w:bottom w:w="100" w:type="dxa"/>
              <w:right w:w="100" w:type="dxa"/>
            </w:tcMar>
          </w:tcPr>
          <w:p w14:paraId="7EDE7FCA" w14:textId="51F96FC3" w:rsidR="00920F45" w:rsidRDefault="004F111B">
            <w:pPr>
              <w:spacing w:after="120" w:line="273" w:lineRule="auto"/>
              <w:jc w:val="both"/>
              <w:rPr>
                <w:b/>
                <w:highlight w:val="yellow"/>
              </w:rPr>
            </w:pPr>
            <w:r w:rsidRPr="004F111B">
              <w:rPr>
                <w:b/>
              </w:rPr>
              <w:t>1556</w:t>
            </w:r>
          </w:p>
        </w:tc>
      </w:tr>
      <w:tr w:rsidR="00920F45" w14:paraId="3A81041C" w14:textId="77777777">
        <w:trPr>
          <w:trHeight w:val="455"/>
        </w:trPr>
        <w:tc>
          <w:tcPr>
            <w:tcW w:w="2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87FD7B" w14:textId="77777777" w:rsidR="00920F45" w:rsidRDefault="007B5904">
            <w:pPr>
              <w:spacing w:after="120" w:line="273" w:lineRule="auto"/>
              <w:jc w:val="both"/>
              <w:rPr>
                <w:b/>
              </w:rPr>
            </w:pPr>
            <w:r>
              <w:rPr>
                <w:b/>
              </w:rPr>
              <w:t>Scope 2</w:t>
            </w:r>
          </w:p>
        </w:tc>
        <w:tc>
          <w:tcPr>
            <w:tcW w:w="7320" w:type="dxa"/>
            <w:tcBorders>
              <w:top w:val="nil"/>
              <w:left w:val="nil"/>
              <w:bottom w:val="single" w:sz="8" w:space="0" w:color="000000"/>
              <w:right w:val="single" w:sz="20" w:space="0" w:color="000000"/>
            </w:tcBorders>
            <w:tcMar>
              <w:top w:w="100" w:type="dxa"/>
              <w:left w:w="100" w:type="dxa"/>
              <w:bottom w:w="100" w:type="dxa"/>
              <w:right w:w="100" w:type="dxa"/>
            </w:tcMar>
          </w:tcPr>
          <w:p w14:paraId="41141546" w14:textId="5E8446C8" w:rsidR="00920F45" w:rsidRDefault="004F111B">
            <w:pPr>
              <w:spacing w:after="120" w:line="273" w:lineRule="auto"/>
              <w:jc w:val="both"/>
              <w:rPr>
                <w:b/>
                <w:highlight w:val="yellow"/>
              </w:rPr>
            </w:pPr>
            <w:r w:rsidRPr="004F111B">
              <w:rPr>
                <w:b/>
                <w:color w:val="000000" w:themeColor="text1"/>
              </w:rPr>
              <w:t>17</w:t>
            </w:r>
          </w:p>
        </w:tc>
      </w:tr>
      <w:tr w:rsidR="00920F45" w14:paraId="01E7C557" w14:textId="77777777">
        <w:trPr>
          <w:trHeight w:val="585"/>
        </w:trPr>
        <w:tc>
          <w:tcPr>
            <w:tcW w:w="2130" w:type="dxa"/>
            <w:tcBorders>
              <w:top w:val="nil"/>
              <w:left w:val="single" w:sz="8" w:space="0" w:color="000000"/>
              <w:bottom w:val="single" w:sz="18" w:space="0" w:color="000000"/>
              <w:right w:val="single" w:sz="8" w:space="0" w:color="000000"/>
            </w:tcBorders>
            <w:tcMar>
              <w:top w:w="100" w:type="dxa"/>
              <w:left w:w="100" w:type="dxa"/>
              <w:bottom w:w="100" w:type="dxa"/>
              <w:right w:w="100" w:type="dxa"/>
            </w:tcMar>
          </w:tcPr>
          <w:p w14:paraId="02876C4F" w14:textId="77777777" w:rsidR="00920F45" w:rsidRDefault="007B5904">
            <w:pPr>
              <w:spacing w:after="120" w:line="273" w:lineRule="auto"/>
              <w:jc w:val="both"/>
              <w:rPr>
                <w:b/>
              </w:rPr>
            </w:pPr>
            <w:r>
              <w:rPr>
                <w:b/>
              </w:rPr>
              <w:t xml:space="preserve">Scope 3 </w:t>
            </w:r>
          </w:p>
          <w:p w14:paraId="2052C6C7" w14:textId="4E6A27BF" w:rsidR="00920F45" w:rsidRDefault="007B5904" w:rsidP="00E42DC3">
            <w:pPr>
              <w:spacing w:after="120" w:line="273" w:lineRule="auto"/>
              <w:rPr>
                <w:b/>
                <w:sz w:val="18"/>
                <w:szCs w:val="18"/>
              </w:rPr>
            </w:pPr>
            <w:r>
              <w:rPr>
                <w:b/>
                <w:sz w:val="18"/>
                <w:szCs w:val="18"/>
              </w:rPr>
              <w:t>(</w:t>
            </w:r>
            <w:r w:rsidR="00E42DC3">
              <w:rPr>
                <w:b/>
                <w:sz w:val="18"/>
                <w:szCs w:val="18"/>
              </w:rPr>
              <w:t>All Scope 3 Emissions</w:t>
            </w:r>
            <w:r>
              <w:rPr>
                <w:b/>
                <w:sz w:val="18"/>
                <w:szCs w:val="18"/>
              </w:rPr>
              <w:t>)</w:t>
            </w:r>
          </w:p>
        </w:tc>
        <w:tc>
          <w:tcPr>
            <w:tcW w:w="7320" w:type="dxa"/>
            <w:tcBorders>
              <w:top w:val="nil"/>
              <w:left w:val="nil"/>
              <w:bottom w:val="single" w:sz="18" w:space="0" w:color="000000"/>
              <w:right w:val="single" w:sz="20" w:space="0" w:color="000000"/>
            </w:tcBorders>
            <w:tcMar>
              <w:top w:w="100" w:type="dxa"/>
              <w:left w:w="100" w:type="dxa"/>
              <w:bottom w:w="100" w:type="dxa"/>
              <w:right w:w="100" w:type="dxa"/>
            </w:tcMar>
          </w:tcPr>
          <w:p w14:paraId="22A07CFD" w14:textId="0673E4B0" w:rsidR="005664E5" w:rsidRPr="00E42DC3" w:rsidRDefault="00C32C61">
            <w:pPr>
              <w:spacing w:after="120" w:line="273" w:lineRule="auto"/>
              <w:jc w:val="both"/>
              <w:rPr>
                <w:b/>
                <w:color w:val="000000" w:themeColor="text1"/>
              </w:rPr>
            </w:pPr>
            <w:r w:rsidRPr="00C32C61">
              <w:rPr>
                <w:b/>
                <w:color w:val="000000" w:themeColor="text1"/>
              </w:rPr>
              <w:t>13,187</w:t>
            </w:r>
          </w:p>
        </w:tc>
      </w:tr>
      <w:tr w:rsidR="00920F45" w14:paraId="6AD2D52B" w14:textId="77777777">
        <w:trPr>
          <w:trHeight w:val="58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A3C66" w14:textId="77777777" w:rsidR="00920F45" w:rsidRDefault="007B5904">
            <w:pPr>
              <w:spacing w:after="120" w:line="273" w:lineRule="auto"/>
              <w:jc w:val="both"/>
              <w:rPr>
                <w:b/>
              </w:rPr>
            </w:pPr>
            <w:r>
              <w:rPr>
                <w:b/>
              </w:rPr>
              <w:t>Total Emissions</w:t>
            </w:r>
          </w:p>
        </w:tc>
        <w:tc>
          <w:tcPr>
            <w:tcW w:w="7320" w:type="dxa"/>
            <w:tcBorders>
              <w:top w:val="single" w:sz="18" w:space="0" w:color="000000"/>
              <w:left w:val="nil"/>
              <w:bottom w:val="single" w:sz="8" w:space="0" w:color="000000"/>
              <w:right w:val="single" w:sz="20" w:space="0" w:color="000000"/>
            </w:tcBorders>
            <w:tcMar>
              <w:top w:w="100" w:type="dxa"/>
              <w:left w:w="100" w:type="dxa"/>
              <w:bottom w:w="100" w:type="dxa"/>
              <w:right w:w="100" w:type="dxa"/>
            </w:tcMar>
          </w:tcPr>
          <w:p w14:paraId="593BEBD3" w14:textId="098A3539" w:rsidR="00920F45" w:rsidRDefault="00065C8E">
            <w:pPr>
              <w:spacing w:after="120" w:line="273" w:lineRule="auto"/>
              <w:jc w:val="both"/>
              <w:rPr>
                <w:b/>
              </w:rPr>
            </w:pPr>
            <w:r w:rsidRPr="00065C8E">
              <w:rPr>
                <w:b/>
                <w:color w:val="000000" w:themeColor="text1"/>
              </w:rPr>
              <w:t>14</w:t>
            </w:r>
            <w:r>
              <w:rPr>
                <w:b/>
                <w:color w:val="000000" w:themeColor="text1"/>
              </w:rPr>
              <w:t>,</w:t>
            </w:r>
            <w:r w:rsidRPr="00065C8E">
              <w:rPr>
                <w:b/>
                <w:color w:val="000000" w:themeColor="text1"/>
              </w:rPr>
              <w:t>760</w:t>
            </w:r>
          </w:p>
        </w:tc>
      </w:tr>
    </w:tbl>
    <w:p w14:paraId="3548B275" w14:textId="77777777" w:rsidR="00920F45" w:rsidRDefault="00920F45">
      <w:pPr>
        <w:rPr>
          <w:b/>
          <w:sz w:val="28"/>
          <w:szCs w:val="28"/>
        </w:rPr>
      </w:pPr>
    </w:p>
    <w:p w14:paraId="2E56EA78" w14:textId="77777777" w:rsidR="00DD3D1D" w:rsidRDefault="00DD3D1D">
      <w:pPr>
        <w:rPr>
          <w:b/>
          <w:sz w:val="28"/>
          <w:szCs w:val="28"/>
        </w:rPr>
      </w:pPr>
    </w:p>
    <w:p w14:paraId="2B19D891" w14:textId="77777777" w:rsidR="00DD3D1D" w:rsidRDefault="00DD3D1D">
      <w:pPr>
        <w:rPr>
          <w:b/>
          <w:sz w:val="28"/>
          <w:szCs w:val="28"/>
        </w:rPr>
      </w:pPr>
    </w:p>
    <w:p w14:paraId="2C0EF9C4" w14:textId="77777777" w:rsidR="00DD3D1D" w:rsidRDefault="00DD3D1D">
      <w:pPr>
        <w:rPr>
          <w:b/>
          <w:sz w:val="28"/>
          <w:szCs w:val="28"/>
        </w:rPr>
      </w:pPr>
    </w:p>
    <w:p w14:paraId="272493B1" w14:textId="77777777" w:rsidR="00DD3D1D" w:rsidRDefault="00DD3D1D">
      <w:pPr>
        <w:rPr>
          <w:b/>
          <w:sz w:val="28"/>
          <w:szCs w:val="28"/>
        </w:rPr>
      </w:pPr>
    </w:p>
    <w:p w14:paraId="37661E34" w14:textId="77777777" w:rsidR="00DD3D1D" w:rsidRDefault="00DD3D1D">
      <w:pPr>
        <w:rPr>
          <w:b/>
          <w:sz w:val="28"/>
          <w:szCs w:val="28"/>
        </w:rPr>
      </w:pPr>
    </w:p>
    <w:p w14:paraId="40F2F245" w14:textId="77777777" w:rsidR="00920F45" w:rsidRDefault="00920F45">
      <w:pPr>
        <w:rPr>
          <w:b/>
          <w:sz w:val="28"/>
          <w:szCs w:val="28"/>
        </w:rPr>
      </w:pPr>
    </w:p>
    <w:p w14:paraId="43450AA5" w14:textId="77777777" w:rsidR="00920F45" w:rsidRDefault="007B5904">
      <w:pPr>
        <w:rPr>
          <w:b/>
          <w:sz w:val="28"/>
          <w:szCs w:val="28"/>
        </w:rPr>
      </w:pPr>
      <w:r>
        <w:rPr>
          <w:b/>
          <w:sz w:val="28"/>
          <w:szCs w:val="28"/>
        </w:rPr>
        <w:lastRenderedPageBreak/>
        <w:t>Current Emissions Reporting</w:t>
      </w:r>
    </w:p>
    <w:p w14:paraId="2A2F38D1" w14:textId="77777777" w:rsidR="00E142A5" w:rsidRDefault="00E142A5"/>
    <w:tbl>
      <w:tblPr>
        <w:tblStyle w:val="a0"/>
        <w:tblW w:w="9465" w:type="dxa"/>
        <w:tblBorders>
          <w:top w:val="nil"/>
          <w:left w:val="nil"/>
          <w:bottom w:val="nil"/>
          <w:right w:val="nil"/>
          <w:insideH w:val="nil"/>
          <w:insideV w:val="nil"/>
        </w:tblBorders>
        <w:tblLayout w:type="fixed"/>
        <w:tblLook w:val="0600" w:firstRow="0" w:lastRow="0" w:firstColumn="0" w:lastColumn="0" w:noHBand="1" w:noVBand="1"/>
      </w:tblPr>
      <w:tblGrid>
        <w:gridCol w:w="2100"/>
        <w:gridCol w:w="7365"/>
      </w:tblGrid>
      <w:tr w:rsidR="00920F45" w14:paraId="4D5C32C1" w14:textId="77777777">
        <w:trPr>
          <w:trHeight w:val="122"/>
        </w:trPr>
        <w:tc>
          <w:tcPr>
            <w:tcW w:w="9465"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B64404" w14:textId="71118074" w:rsidR="00920F45" w:rsidRDefault="007B5904">
            <w:pPr>
              <w:spacing w:after="120" w:line="273" w:lineRule="auto"/>
              <w:jc w:val="both"/>
              <w:rPr>
                <w:b/>
                <w:color w:val="FF0000"/>
              </w:rPr>
            </w:pPr>
            <w:r>
              <w:rPr>
                <w:b/>
              </w:rPr>
              <w:t xml:space="preserve">Reporting Year: </w:t>
            </w:r>
            <w:r w:rsidR="00E142A5">
              <w:rPr>
                <w:b/>
              </w:rPr>
              <w:t xml:space="preserve">January – December </w:t>
            </w:r>
            <w:r w:rsidRPr="00C32C61">
              <w:rPr>
                <w:b/>
                <w:color w:val="000000" w:themeColor="text1"/>
              </w:rPr>
              <w:t>20</w:t>
            </w:r>
            <w:r w:rsidR="00C32C61" w:rsidRPr="00C32C61">
              <w:rPr>
                <w:b/>
                <w:color w:val="000000" w:themeColor="text1"/>
              </w:rPr>
              <w:t>24</w:t>
            </w:r>
          </w:p>
        </w:tc>
      </w:tr>
      <w:tr w:rsidR="00920F45" w14:paraId="37198717" w14:textId="77777777">
        <w:trPr>
          <w:trHeight w:val="740"/>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140621" w14:textId="77777777" w:rsidR="00920F45" w:rsidRDefault="007B5904">
            <w:pPr>
              <w:spacing w:after="120" w:line="273" w:lineRule="auto"/>
              <w:jc w:val="both"/>
              <w:rPr>
                <w:b/>
              </w:rPr>
            </w:pPr>
            <w:r>
              <w:rPr>
                <w:b/>
              </w:rPr>
              <w:t>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3C0F08" w14:textId="77777777" w:rsidR="00920F45" w:rsidRDefault="007B5904">
            <w:pPr>
              <w:spacing w:after="120" w:line="273" w:lineRule="auto"/>
              <w:jc w:val="both"/>
              <w:rPr>
                <w:b/>
              </w:rPr>
            </w:pPr>
            <w:r>
              <w:rPr>
                <w:b/>
              </w:rPr>
              <w:t>TOTAL (tCO</w:t>
            </w:r>
            <w:r>
              <w:rPr>
                <w:b/>
                <w:vertAlign w:val="subscript"/>
              </w:rPr>
              <w:t>2</w:t>
            </w:r>
            <w:r>
              <w:rPr>
                <w:b/>
              </w:rPr>
              <w:t>e)</w:t>
            </w:r>
          </w:p>
        </w:tc>
      </w:tr>
      <w:tr w:rsidR="00920F45" w14:paraId="571DA633"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604762" w14:textId="77777777" w:rsidR="00920F45" w:rsidRDefault="007B5904">
            <w:pPr>
              <w:spacing w:after="120" w:line="273" w:lineRule="auto"/>
              <w:jc w:val="both"/>
              <w:rPr>
                <w:b/>
              </w:rPr>
            </w:pPr>
            <w:r>
              <w:rPr>
                <w:b/>
              </w:rPr>
              <w:t>Scope 1</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9F6620" w14:textId="3CDC60E2" w:rsidR="00920F45" w:rsidRDefault="0051661C">
            <w:pPr>
              <w:spacing w:after="120" w:line="273" w:lineRule="auto"/>
              <w:jc w:val="both"/>
              <w:rPr>
                <w:b/>
                <w:highlight w:val="yellow"/>
              </w:rPr>
            </w:pPr>
            <w:r w:rsidRPr="0051661C">
              <w:rPr>
                <w:b/>
                <w:color w:val="000000" w:themeColor="text1"/>
              </w:rPr>
              <w:t>1523</w:t>
            </w:r>
          </w:p>
        </w:tc>
      </w:tr>
      <w:tr w:rsidR="00920F45" w14:paraId="75484108"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7DE4CB" w14:textId="77777777" w:rsidR="00920F45" w:rsidRDefault="007B5904">
            <w:pPr>
              <w:spacing w:after="120" w:line="273" w:lineRule="auto"/>
              <w:jc w:val="both"/>
              <w:rPr>
                <w:b/>
              </w:rPr>
            </w:pPr>
            <w:r>
              <w:rPr>
                <w:b/>
              </w:rPr>
              <w:t>Scope 2</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BF19A9" w14:textId="42BA32F7" w:rsidR="00920F45" w:rsidRPr="0051661C" w:rsidRDefault="0051661C">
            <w:pPr>
              <w:spacing w:after="120" w:line="273" w:lineRule="auto"/>
              <w:jc w:val="both"/>
              <w:rPr>
                <w:b/>
                <w:color w:val="000000" w:themeColor="text1"/>
              </w:rPr>
            </w:pPr>
            <w:r w:rsidRPr="0051661C">
              <w:rPr>
                <w:b/>
                <w:color w:val="000000" w:themeColor="text1"/>
              </w:rPr>
              <w:t>15</w:t>
            </w:r>
          </w:p>
        </w:tc>
      </w:tr>
      <w:tr w:rsidR="00920F45" w14:paraId="6AFAC381"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F3CB89" w14:textId="77777777" w:rsidR="00920F45" w:rsidRDefault="007B5904">
            <w:pPr>
              <w:spacing w:after="120" w:line="273" w:lineRule="auto"/>
              <w:jc w:val="both"/>
              <w:rPr>
                <w:b/>
              </w:rPr>
            </w:pPr>
            <w:r>
              <w:rPr>
                <w:b/>
              </w:rPr>
              <w:t xml:space="preserve">Scope 3 </w:t>
            </w:r>
          </w:p>
          <w:p w14:paraId="76D43BE1" w14:textId="41EA1D34" w:rsidR="00920F45" w:rsidRDefault="007B5904" w:rsidP="00CB3C58">
            <w:pPr>
              <w:spacing w:after="120" w:line="273" w:lineRule="auto"/>
              <w:rPr>
                <w:b/>
                <w:sz w:val="18"/>
                <w:szCs w:val="18"/>
              </w:rPr>
            </w:pPr>
            <w:r>
              <w:rPr>
                <w:b/>
                <w:sz w:val="18"/>
                <w:szCs w:val="18"/>
              </w:rPr>
              <w:t>(</w:t>
            </w:r>
            <w:r w:rsidR="00CB3C58">
              <w:rPr>
                <w:b/>
                <w:sz w:val="18"/>
                <w:szCs w:val="18"/>
              </w:rPr>
              <w:t>All Scope 3 Emissions</w:t>
            </w:r>
            <w:r>
              <w:rPr>
                <w:b/>
                <w:sz w:val="18"/>
                <w:szCs w:val="18"/>
              </w:rPr>
              <w:t>)</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D2EB43" w14:textId="6F53C604" w:rsidR="00920F45" w:rsidRPr="005664E5" w:rsidRDefault="00920F45">
            <w:pPr>
              <w:spacing w:after="120" w:line="273" w:lineRule="auto"/>
              <w:jc w:val="both"/>
              <w:rPr>
                <w:b/>
                <w:color w:val="000000" w:themeColor="text1"/>
              </w:rPr>
            </w:pPr>
          </w:p>
          <w:p w14:paraId="470A2358" w14:textId="054BF21D" w:rsidR="005664E5" w:rsidRPr="005664E5" w:rsidRDefault="000A0646">
            <w:pPr>
              <w:spacing w:after="120" w:line="273" w:lineRule="auto"/>
              <w:jc w:val="both"/>
              <w:rPr>
                <w:b/>
                <w:color w:val="000000" w:themeColor="text1"/>
              </w:rPr>
            </w:pPr>
            <w:r>
              <w:rPr>
                <w:b/>
                <w:color w:val="000000" w:themeColor="text1"/>
              </w:rPr>
              <w:t>1</w:t>
            </w:r>
            <w:r w:rsidR="003B0BAD">
              <w:rPr>
                <w:b/>
                <w:color w:val="000000" w:themeColor="text1"/>
              </w:rPr>
              <w:t>1,195</w:t>
            </w:r>
          </w:p>
        </w:tc>
      </w:tr>
      <w:tr w:rsidR="00920F45" w14:paraId="6912BEAF"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2B1237" w14:textId="77777777" w:rsidR="00920F45" w:rsidRDefault="007B5904">
            <w:pPr>
              <w:spacing w:after="120" w:line="273" w:lineRule="auto"/>
              <w:jc w:val="both"/>
              <w:rPr>
                <w:b/>
              </w:rPr>
            </w:pPr>
            <w:r>
              <w:rPr>
                <w:b/>
              </w:rPr>
              <w:t>Total 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66A69D" w14:textId="2EFB65EE" w:rsidR="00920F45" w:rsidRDefault="00996F77">
            <w:pPr>
              <w:spacing w:after="120" w:line="273" w:lineRule="auto"/>
              <w:jc w:val="both"/>
              <w:rPr>
                <w:b/>
              </w:rPr>
            </w:pPr>
            <w:r>
              <w:rPr>
                <w:b/>
                <w:color w:val="000000" w:themeColor="text1"/>
              </w:rPr>
              <w:t>12,733</w:t>
            </w:r>
          </w:p>
        </w:tc>
      </w:tr>
    </w:tbl>
    <w:p w14:paraId="5CF1E299" w14:textId="77777777" w:rsidR="00C34E90" w:rsidRDefault="00C34E90">
      <w:pPr>
        <w:pStyle w:val="Heading1"/>
        <w:keepNext w:val="0"/>
        <w:keepLines w:val="0"/>
        <w:spacing w:before="0" w:line="273" w:lineRule="auto"/>
        <w:jc w:val="both"/>
        <w:rPr>
          <w:b/>
          <w:sz w:val="28"/>
          <w:szCs w:val="28"/>
        </w:rPr>
      </w:pPr>
      <w:bookmarkStart w:id="5" w:name="_3dy6vkm" w:colFirst="0" w:colLast="0"/>
      <w:bookmarkEnd w:id="5"/>
    </w:p>
    <w:p w14:paraId="0F2A1DC3" w14:textId="2FE7714A" w:rsidR="00920F45" w:rsidRDefault="007B5904">
      <w:pPr>
        <w:pStyle w:val="Heading1"/>
        <w:keepNext w:val="0"/>
        <w:keepLines w:val="0"/>
        <w:spacing w:before="0" w:line="273" w:lineRule="auto"/>
        <w:jc w:val="both"/>
        <w:rPr>
          <w:b/>
          <w:sz w:val="28"/>
          <w:szCs w:val="28"/>
        </w:rPr>
      </w:pPr>
      <w:r>
        <w:rPr>
          <w:b/>
          <w:sz w:val="28"/>
          <w:szCs w:val="28"/>
        </w:rPr>
        <w:t>Emissions reduction targets</w:t>
      </w:r>
    </w:p>
    <w:p w14:paraId="5633F2F0" w14:textId="600C9AD8" w:rsidR="00976CFA" w:rsidRDefault="00976CFA" w:rsidP="00976CFA">
      <w:r>
        <w:t xml:space="preserve">Walker Construction (UK) Ltd. have carried out a full year carbon audit of our Scope 1,2 &amp; 3 carbon emissions for 2024 and compared this against our 2023 benchmark. We have an action plan in place to reduce our emissions by half by </w:t>
      </w:r>
      <w:r w:rsidR="00D34262">
        <w:t xml:space="preserve">the end </w:t>
      </w:r>
      <w:r>
        <w:t>2030 in line with government targets and the SBTi to limit global warming to 1.5 Degrees Celsius.</w:t>
      </w:r>
    </w:p>
    <w:p w14:paraId="4DA69A31" w14:textId="77777777" w:rsidR="00124109" w:rsidRDefault="00124109" w:rsidP="00976CFA"/>
    <w:p w14:paraId="7FDCB81A" w14:textId="21FBB9FB" w:rsidR="00976CFA" w:rsidRDefault="00976CFA" w:rsidP="00976CFA">
      <w:r>
        <w:t>Our objective is to be a ‘Net Zero’ business by 2040.</w:t>
      </w:r>
    </w:p>
    <w:p w14:paraId="4071F224" w14:textId="77777777" w:rsidR="00DD0F77" w:rsidRDefault="00DD0F77" w:rsidP="00976CFA"/>
    <w:p w14:paraId="6F059B71" w14:textId="09482DF5" w:rsidR="00DD0F77" w:rsidRDefault="00D14FB5" w:rsidP="00DD0F77">
      <w:r>
        <w:t xml:space="preserve">From our 2023 Baseline </w:t>
      </w:r>
      <w:r w:rsidR="00E03CAA">
        <w:t>w</w:t>
      </w:r>
      <w:r w:rsidR="00DD0F77">
        <w:t>e project that carbon emissions will decrease over the next five years to 7</w:t>
      </w:r>
      <w:r w:rsidR="00E03CAA">
        <w:t>380</w:t>
      </w:r>
      <w:r w:rsidR="00DD0F77">
        <w:t xml:space="preserve"> tCO2e by the end of 2030. This is a reduction of 50%</w:t>
      </w:r>
    </w:p>
    <w:p w14:paraId="03F0669A" w14:textId="77777777" w:rsidR="00E469B4" w:rsidRDefault="00E469B4" w:rsidP="00976CFA"/>
    <w:p w14:paraId="724D1212" w14:textId="40806D47" w:rsidR="00E469B4" w:rsidRDefault="00E469B4" w:rsidP="00976CFA">
      <w:pPr>
        <w:rPr>
          <w:b/>
          <w:bCs/>
        </w:rPr>
      </w:pPr>
      <w:r w:rsidRPr="00E469B4">
        <w:rPr>
          <w:b/>
          <w:bCs/>
        </w:rPr>
        <w:t>Scope 1 Emissions</w:t>
      </w:r>
      <w:r w:rsidR="00A36792">
        <w:rPr>
          <w:b/>
          <w:bCs/>
        </w:rPr>
        <w:t xml:space="preserve"> Against 2023 Baseline</w:t>
      </w:r>
    </w:p>
    <w:p w14:paraId="53D97F83" w14:textId="26262B09" w:rsidR="00E469B4" w:rsidRDefault="00E469B4" w:rsidP="00976CFA">
      <w:r w:rsidRPr="00E469B4">
        <w:t>• Scope 1 Site Fuel. Reduction target 7</w:t>
      </w:r>
      <w:r w:rsidR="00A062BF">
        <w:t>78</w:t>
      </w:r>
      <w:r w:rsidRPr="00E469B4">
        <w:t xml:space="preserve"> tCO2e by end 2030 or </w:t>
      </w:r>
      <w:r w:rsidR="005878C9">
        <w:t>111</w:t>
      </w:r>
      <w:r w:rsidRPr="00E469B4">
        <w:t xml:space="preserve"> tCO2e/year</w:t>
      </w:r>
    </w:p>
    <w:p w14:paraId="0B2C8A87" w14:textId="77777777" w:rsidR="00E469B4" w:rsidRDefault="00E469B4" w:rsidP="00976CFA"/>
    <w:p w14:paraId="764E5B1B" w14:textId="3F49DB52" w:rsidR="00E469B4" w:rsidRDefault="00E469B4" w:rsidP="00976CFA">
      <w:pPr>
        <w:rPr>
          <w:b/>
          <w:bCs/>
        </w:rPr>
      </w:pPr>
      <w:r w:rsidRPr="00E469B4">
        <w:rPr>
          <w:b/>
          <w:bCs/>
        </w:rPr>
        <w:t>Scope 2 Emissions</w:t>
      </w:r>
      <w:r w:rsidR="00A36792">
        <w:rPr>
          <w:b/>
          <w:bCs/>
        </w:rPr>
        <w:t xml:space="preserve"> Against 2023 Baseline</w:t>
      </w:r>
    </w:p>
    <w:p w14:paraId="37C74FA3" w14:textId="6082672B" w:rsidR="00E469B4" w:rsidRPr="00EC52F0" w:rsidRDefault="00EC52F0" w:rsidP="00976CFA">
      <w:r w:rsidRPr="00EC52F0">
        <w:t>• Scope 2 Office Energy. Reduction target 1</w:t>
      </w:r>
      <w:r w:rsidR="002A2D5A">
        <w:t>7</w:t>
      </w:r>
      <w:r w:rsidRPr="00EC52F0">
        <w:t xml:space="preserve"> tCO2e by</w:t>
      </w:r>
      <w:r w:rsidR="00C60A40">
        <w:t xml:space="preserve"> end</w:t>
      </w:r>
      <w:r w:rsidRPr="00EC52F0">
        <w:t xml:space="preserve"> 2025                                        </w:t>
      </w:r>
    </w:p>
    <w:p w14:paraId="19972B68" w14:textId="77777777" w:rsidR="007C7E34" w:rsidRPr="007C7E34" w:rsidRDefault="007C7E34" w:rsidP="00976CFA">
      <w:pPr>
        <w:rPr>
          <w:b/>
          <w:bCs/>
        </w:rPr>
      </w:pPr>
    </w:p>
    <w:p w14:paraId="759120B9" w14:textId="3BECEB5C" w:rsidR="007C7E34" w:rsidRPr="007C7E34" w:rsidRDefault="007C7E34" w:rsidP="007C7E34">
      <w:pPr>
        <w:rPr>
          <w:b/>
          <w:bCs/>
        </w:rPr>
      </w:pPr>
      <w:r w:rsidRPr="007C7E34">
        <w:rPr>
          <w:b/>
          <w:bCs/>
        </w:rPr>
        <w:t>Scope 3 Emissions</w:t>
      </w:r>
      <w:r w:rsidR="00A36792">
        <w:rPr>
          <w:b/>
          <w:bCs/>
        </w:rPr>
        <w:t xml:space="preserve"> Against 2023 Baseline</w:t>
      </w:r>
    </w:p>
    <w:p w14:paraId="5BA1525D" w14:textId="0F7734DC" w:rsidR="007C7E34" w:rsidRDefault="007C7E34" w:rsidP="007C7E34">
      <w:r>
        <w:t>• Scope 3 Sub-Contractors. Reduction target 4</w:t>
      </w:r>
      <w:r w:rsidR="00C6393C">
        <w:t>20</w:t>
      </w:r>
      <w:r w:rsidR="0012740E">
        <w:t>5</w:t>
      </w:r>
      <w:r>
        <w:t xml:space="preserve"> tCO2e by end 2030 or </w:t>
      </w:r>
      <w:r w:rsidR="00A36792">
        <w:t>601</w:t>
      </w:r>
      <w:r>
        <w:t xml:space="preserve"> tCO2e/year</w:t>
      </w:r>
    </w:p>
    <w:p w14:paraId="66B4895C" w14:textId="07B9FB2B" w:rsidR="006A40C9" w:rsidRDefault="007C7E34" w:rsidP="007C7E34">
      <w:r>
        <w:t xml:space="preserve">• Scope 3 Direct Materials. Reduction target </w:t>
      </w:r>
      <w:r w:rsidR="00B30A77">
        <w:t>2289</w:t>
      </w:r>
      <w:r>
        <w:t xml:space="preserve"> tCO2e by end 2030 or </w:t>
      </w:r>
      <w:r w:rsidR="00801E95">
        <w:t>327</w:t>
      </w:r>
      <w:r>
        <w:t xml:space="preserve"> tCO2e/year</w:t>
      </w:r>
    </w:p>
    <w:p w14:paraId="6DEB05EC" w14:textId="77777777" w:rsidR="007C7E34" w:rsidRDefault="007C7E34" w:rsidP="007C7E34"/>
    <w:p w14:paraId="33FF47FD" w14:textId="2B99B955" w:rsidR="007C7E34" w:rsidRDefault="008B5756" w:rsidP="007C7E34">
      <w:r w:rsidRPr="008B5756">
        <w:t>• Scope 3 Waste. Reduction target 3</w:t>
      </w:r>
      <w:r w:rsidR="00316500">
        <w:t>5</w:t>
      </w:r>
      <w:r w:rsidRPr="008B5756">
        <w:t xml:space="preserve"> tCO2e by end 2030 or 5 </w:t>
      </w:r>
      <w:r w:rsidR="007A01E2">
        <w:t>t</w:t>
      </w:r>
      <w:r w:rsidRPr="008B5756">
        <w:t>CO2e</w:t>
      </w:r>
      <w:r w:rsidR="007A01E2">
        <w:t>/year</w:t>
      </w:r>
    </w:p>
    <w:p w14:paraId="613DA367" w14:textId="77777777" w:rsidR="008B5756" w:rsidRDefault="008B5756" w:rsidP="007C7E34"/>
    <w:p w14:paraId="343057C2" w14:textId="20EBD5E1" w:rsidR="00920F45" w:rsidRDefault="00AC6D91" w:rsidP="00C34E90">
      <w:r w:rsidRPr="00AC6D91">
        <w:t>• Scope 3 Daily Operations. Reduction target 6</w:t>
      </w:r>
      <w:r w:rsidR="00EF0AFB">
        <w:t>5</w:t>
      </w:r>
      <w:r w:rsidRPr="00AC6D91">
        <w:t xml:space="preserve"> tCO2e by end 2030 or </w:t>
      </w:r>
      <w:r w:rsidR="00022D2D">
        <w:t>9</w:t>
      </w:r>
      <w:r w:rsidRPr="00AC6D91">
        <w:t xml:space="preserve"> tCO2e/year</w:t>
      </w:r>
      <w:bookmarkStart w:id="6" w:name="_1t3h5sf" w:colFirst="0" w:colLast="0"/>
      <w:bookmarkStart w:id="7" w:name="_17dp8vu" w:colFirst="0" w:colLast="0"/>
      <w:bookmarkStart w:id="8" w:name="_26in1rg" w:colFirst="0" w:colLast="0"/>
      <w:bookmarkStart w:id="9" w:name="_d2uvwigxckbw" w:colFirst="0" w:colLast="0"/>
      <w:bookmarkStart w:id="10" w:name="_o5sq8ztardzk" w:colFirst="0" w:colLast="0"/>
      <w:bookmarkStart w:id="11" w:name="_4xarjqwfraw9" w:colFirst="0" w:colLast="0"/>
      <w:bookmarkStart w:id="12" w:name="_idiwny4s6x3f" w:colFirst="0" w:colLast="0"/>
      <w:bookmarkStart w:id="13" w:name="_utssprmgh4mx" w:colFirst="0" w:colLast="0"/>
      <w:bookmarkStart w:id="14" w:name="_8a9rhdp1d0ex" w:colFirst="0" w:colLast="0"/>
      <w:bookmarkStart w:id="15" w:name="_oomee3vxnnol" w:colFirst="0" w:colLast="0"/>
      <w:bookmarkStart w:id="16" w:name="_r3061r1eadqj" w:colFirst="0" w:colLast="0"/>
      <w:bookmarkStart w:id="17" w:name="_dsgjqo4x0m1y" w:colFirst="0" w:colLast="0"/>
      <w:bookmarkStart w:id="18" w:name="_jzlh7jmsfimn" w:colFirst="0" w:colLast="0"/>
      <w:bookmarkStart w:id="19" w:name="_2zbfemiulqpn" w:colFirst="0" w:colLast="0"/>
      <w:bookmarkStart w:id="20" w:name="_336s9baqadk" w:colFirst="0" w:colLast="0"/>
      <w:bookmarkStart w:id="21" w:name="_84rmrjdfymle" w:colFirst="0" w:colLast="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D317833" w14:textId="77777777" w:rsidR="00C34E90" w:rsidRDefault="00C34E90" w:rsidP="00C34E90"/>
    <w:p w14:paraId="6C89C163" w14:textId="77777777" w:rsidR="00AF7448" w:rsidRPr="00C34E90" w:rsidRDefault="00AF7448" w:rsidP="00C34E90"/>
    <w:p w14:paraId="3DA37F4C" w14:textId="77777777" w:rsidR="00920F45" w:rsidRDefault="007B5904">
      <w:pPr>
        <w:pStyle w:val="Heading1"/>
        <w:keepNext w:val="0"/>
        <w:keepLines w:val="0"/>
        <w:spacing w:before="0" w:line="273" w:lineRule="auto"/>
        <w:jc w:val="both"/>
        <w:rPr>
          <w:sz w:val="22"/>
          <w:szCs w:val="22"/>
        </w:rPr>
      </w:pPr>
      <w:bookmarkStart w:id="22" w:name="_84we32gvycig" w:colFirst="0" w:colLast="0"/>
      <w:bookmarkEnd w:id="22"/>
      <w:r>
        <w:rPr>
          <w:sz w:val="22"/>
          <w:szCs w:val="22"/>
        </w:rPr>
        <w:lastRenderedPageBreak/>
        <w:t xml:space="preserve">Progress against these targets can be seen in the graph below: </w:t>
      </w:r>
    </w:p>
    <w:p w14:paraId="3CC689B7" w14:textId="77777777" w:rsidR="00F8719D" w:rsidRPr="00F8719D" w:rsidRDefault="00F8719D" w:rsidP="00F8719D"/>
    <w:p w14:paraId="53428CEB" w14:textId="77777777" w:rsidR="00F8719D" w:rsidRPr="00F8719D" w:rsidRDefault="00F8719D" w:rsidP="00F8719D">
      <w:pPr>
        <w:spacing w:line="240" w:lineRule="auto"/>
        <w:ind w:left="1144"/>
        <w:rPr>
          <w:rFonts w:ascii="Calibri" w:eastAsia="Times New Roman" w:hAnsi="Calibri" w:cs="Calibri"/>
          <w:b/>
          <w:bCs/>
          <w:color w:val="92D050"/>
          <w:sz w:val="28"/>
          <w:szCs w:val="28"/>
          <w:u w:val="single"/>
          <w:lang w:val="en-US"/>
        </w:rPr>
      </w:pPr>
      <w:r w:rsidRPr="00F8719D">
        <w:rPr>
          <w:rFonts w:ascii="Calibri" w:eastAsia="Times New Roman" w:hAnsi="Calibri" w:cs="Calibri"/>
          <w:b/>
          <w:bCs/>
          <w:color w:val="92D050"/>
          <w:sz w:val="28"/>
          <w:szCs w:val="28"/>
          <w:u w:val="single"/>
          <w:lang w:val="en-US"/>
        </w:rPr>
        <w:t>Carbon Reduction: Projected 2025-2030 &amp; ‘Net Zero’ 2040</w:t>
      </w:r>
    </w:p>
    <w:p w14:paraId="18AE76B7" w14:textId="77777777" w:rsidR="001260A0" w:rsidRDefault="001260A0" w:rsidP="001260A0"/>
    <w:p w14:paraId="5AF1568A" w14:textId="77777777" w:rsidR="00495B5E" w:rsidRPr="001260A0" w:rsidRDefault="00495B5E" w:rsidP="001260A0"/>
    <w:p w14:paraId="44576DF0" w14:textId="19042BCE" w:rsidR="00920F45" w:rsidRDefault="007B5904">
      <w:pPr>
        <w:pStyle w:val="Heading1"/>
        <w:keepNext w:val="0"/>
        <w:keepLines w:val="0"/>
        <w:spacing w:before="0" w:line="273" w:lineRule="auto"/>
        <w:jc w:val="both"/>
        <w:rPr>
          <w:sz w:val="22"/>
          <w:szCs w:val="22"/>
        </w:rPr>
      </w:pPr>
      <w:bookmarkStart w:id="23" w:name="_lnxbz9" w:colFirst="0" w:colLast="0"/>
      <w:bookmarkEnd w:id="23"/>
      <w:r>
        <w:rPr>
          <w:sz w:val="22"/>
          <w:szCs w:val="22"/>
        </w:rPr>
        <w:t xml:space="preserve">  </w:t>
      </w:r>
      <w:r w:rsidR="00EE03E9">
        <w:rPr>
          <w:noProof/>
          <w:sz w:val="22"/>
          <w:szCs w:val="22"/>
        </w:rPr>
        <w:drawing>
          <wp:inline distT="0" distB="0" distL="0" distR="0" wp14:anchorId="5D55816E" wp14:editId="429CEB85">
            <wp:extent cx="5499100" cy="3279775"/>
            <wp:effectExtent l="0" t="0" r="6350" b="0"/>
            <wp:docPr id="18627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3279775"/>
                    </a:xfrm>
                    <a:prstGeom prst="rect">
                      <a:avLst/>
                    </a:prstGeom>
                    <a:noFill/>
                  </pic:spPr>
                </pic:pic>
              </a:graphicData>
            </a:graphic>
          </wp:inline>
        </w:drawing>
      </w:r>
    </w:p>
    <w:p w14:paraId="3EF3A27D" w14:textId="096DD478" w:rsidR="00920F45" w:rsidRPr="00163724" w:rsidRDefault="007B5904" w:rsidP="00163724">
      <w:pPr>
        <w:pStyle w:val="Heading1"/>
        <w:spacing w:before="360" w:line="248" w:lineRule="auto"/>
        <w:rPr>
          <w:b/>
          <w:sz w:val="28"/>
          <w:szCs w:val="28"/>
        </w:rPr>
      </w:pPr>
      <w:bookmarkStart w:id="24" w:name="_35nkun2" w:colFirst="0" w:colLast="0"/>
      <w:bookmarkEnd w:id="24"/>
      <w:r>
        <w:rPr>
          <w:b/>
          <w:sz w:val="28"/>
          <w:szCs w:val="28"/>
        </w:rPr>
        <w:t xml:space="preserve">Carbon Reduction </w:t>
      </w:r>
      <w:r w:rsidR="00163724">
        <w:rPr>
          <w:b/>
          <w:sz w:val="28"/>
          <w:szCs w:val="28"/>
        </w:rPr>
        <w:t>Initiatives</w:t>
      </w:r>
      <w:bookmarkStart w:id="25" w:name="_1ksv4uv" w:colFirst="0" w:colLast="0"/>
      <w:bookmarkEnd w:id="25"/>
    </w:p>
    <w:p w14:paraId="23AD5A59" w14:textId="48466CC8" w:rsidR="00920F45" w:rsidRDefault="007B5904">
      <w:pPr>
        <w:spacing w:after="140" w:line="272" w:lineRule="auto"/>
      </w:pPr>
      <w:r>
        <w:t>The following environmental management measures and projects have been completed or implemented since the</w:t>
      </w:r>
      <w:r w:rsidRPr="00AC1216">
        <w:t xml:space="preserve"> 20</w:t>
      </w:r>
      <w:r w:rsidR="00AC1216" w:rsidRPr="00AC1216">
        <w:t>23</w:t>
      </w:r>
      <w:r w:rsidRPr="00AC1216">
        <w:t xml:space="preserve"> </w:t>
      </w:r>
      <w:r>
        <w:t xml:space="preserve">baseline. </w:t>
      </w:r>
      <w:r w:rsidRPr="00476022">
        <w:rPr>
          <w:b/>
          <w:bCs/>
        </w:rPr>
        <w:t xml:space="preserve">The </w:t>
      </w:r>
      <w:r w:rsidR="00780530" w:rsidRPr="00476022">
        <w:rPr>
          <w:b/>
          <w:bCs/>
        </w:rPr>
        <w:t xml:space="preserve">2024 </w:t>
      </w:r>
      <w:r w:rsidR="00932170" w:rsidRPr="00476022">
        <w:rPr>
          <w:b/>
          <w:bCs/>
        </w:rPr>
        <w:t xml:space="preserve">total </w:t>
      </w:r>
      <w:r w:rsidRPr="00476022">
        <w:rPr>
          <w:b/>
          <w:bCs/>
        </w:rPr>
        <w:t>carbon emission</w:t>
      </w:r>
      <w:r w:rsidR="00C66983" w:rsidRPr="00476022">
        <w:rPr>
          <w:b/>
          <w:bCs/>
        </w:rPr>
        <w:t>s</w:t>
      </w:r>
      <w:r w:rsidRPr="00476022">
        <w:rPr>
          <w:b/>
          <w:bCs/>
        </w:rPr>
        <w:t xml:space="preserve"> reduction achieved by these </w:t>
      </w:r>
      <w:r w:rsidR="00C66983" w:rsidRPr="00476022">
        <w:rPr>
          <w:b/>
          <w:bCs/>
        </w:rPr>
        <w:t>initiatives</w:t>
      </w:r>
      <w:r w:rsidRPr="00476022">
        <w:rPr>
          <w:b/>
          <w:bCs/>
        </w:rPr>
        <w:t xml:space="preserve"> equate to</w:t>
      </w:r>
      <w:r w:rsidR="00AC1216" w:rsidRPr="00476022">
        <w:rPr>
          <w:b/>
          <w:bCs/>
        </w:rPr>
        <w:t xml:space="preserve"> </w:t>
      </w:r>
      <w:r w:rsidR="006513AA" w:rsidRPr="00476022">
        <w:rPr>
          <w:b/>
          <w:bCs/>
        </w:rPr>
        <w:t>2027</w:t>
      </w:r>
      <w:r w:rsidRPr="00476022">
        <w:rPr>
          <w:b/>
          <w:bCs/>
        </w:rPr>
        <w:t xml:space="preserve"> tCO</w:t>
      </w:r>
      <w:r w:rsidRPr="00476022">
        <w:rPr>
          <w:b/>
          <w:bCs/>
          <w:vertAlign w:val="subscript"/>
        </w:rPr>
        <w:t>2</w:t>
      </w:r>
      <w:r w:rsidRPr="00476022">
        <w:rPr>
          <w:b/>
          <w:bCs/>
        </w:rPr>
        <w:t xml:space="preserve">e, a </w:t>
      </w:r>
      <w:r w:rsidR="00B51456" w:rsidRPr="00476022">
        <w:rPr>
          <w:b/>
          <w:bCs/>
        </w:rPr>
        <w:t>14</w:t>
      </w:r>
      <w:r w:rsidRPr="00476022">
        <w:rPr>
          <w:b/>
          <w:bCs/>
        </w:rPr>
        <w:t xml:space="preserve">% reduction against the </w:t>
      </w:r>
      <w:r w:rsidRPr="00476022">
        <w:rPr>
          <w:b/>
          <w:bCs/>
          <w:color w:val="000000" w:themeColor="text1"/>
        </w:rPr>
        <w:t>20</w:t>
      </w:r>
      <w:r w:rsidR="00417656" w:rsidRPr="00476022">
        <w:rPr>
          <w:b/>
          <w:bCs/>
          <w:color w:val="000000" w:themeColor="text1"/>
        </w:rPr>
        <w:t>23</w:t>
      </w:r>
      <w:r w:rsidRPr="00476022">
        <w:rPr>
          <w:b/>
          <w:bCs/>
        </w:rPr>
        <w:t xml:space="preserve"> baseline</w:t>
      </w:r>
      <w:r w:rsidR="00476022">
        <w:t>. T</w:t>
      </w:r>
      <w:r>
        <w:t xml:space="preserve">he </w:t>
      </w:r>
      <w:r w:rsidR="00877B29">
        <w:t xml:space="preserve">following </w:t>
      </w:r>
      <w:r>
        <w:t xml:space="preserve">measures will be in effect when performing the </w:t>
      </w:r>
      <w:proofErr w:type="gramStart"/>
      <w:r>
        <w:t>contract</w:t>
      </w:r>
      <w:r w:rsidR="00476022">
        <w:t>;</w:t>
      </w:r>
      <w:proofErr w:type="gramEnd"/>
    </w:p>
    <w:p w14:paraId="491B0FCD" w14:textId="24BF6470" w:rsidR="00C008A0" w:rsidRDefault="001C06E3" w:rsidP="001C06E3">
      <w:pPr>
        <w:spacing w:after="140" w:line="272" w:lineRule="auto"/>
        <w:rPr>
          <w:b/>
          <w:bCs/>
        </w:rPr>
      </w:pPr>
      <w:r w:rsidRPr="001C06E3">
        <w:rPr>
          <w:b/>
          <w:bCs/>
        </w:rPr>
        <w:t xml:space="preserve">Scope 3 </w:t>
      </w:r>
      <w:r w:rsidR="00F9288D">
        <w:rPr>
          <w:b/>
          <w:bCs/>
        </w:rPr>
        <w:t xml:space="preserve">Supply Chain </w:t>
      </w:r>
      <w:r w:rsidRPr="001C06E3">
        <w:rPr>
          <w:b/>
          <w:bCs/>
        </w:rPr>
        <w:t>Initiatives</w:t>
      </w:r>
      <w:r w:rsidR="00C008A0">
        <w:rPr>
          <w:b/>
          <w:bCs/>
        </w:rPr>
        <w:t>.</w:t>
      </w:r>
    </w:p>
    <w:p w14:paraId="55291E88" w14:textId="22EBF541" w:rsidR="001C06E3" w:rsidRDefault="00C008A0" w:rsidP="001C06E3">
      <w:pPr>
        <w:spacing w:after="140" w:line="272" w:lineRule="auto"/>
      </w:pPr>
      <w:r w:rsidRPr="00C008A0">
        <w:t>S</w:t>
      </w:r>
      <w:r w:rsidR="001C06E3">
        <w:t xml:space="preserve">ub-contractors now account for </w:t>
      </w:r>
      <w:r w:rsidR="00883DB9">
        <w:t>59</w:t>
      </w:r>
      <w:r w:rsidR="001C06E3">
        <w:t>% of our total emissions (58% in 2023)</w:t>
      </w:r>
      <w:r w:rsidR="00DE2EB0">
        <w:t>.</w:t>
      </w:r>
    </w:p>
    <w:p w14:paraId="6DE1A942" w14:textId="66CF8228" w:rsidR="001C06E3" w:rsidRDefault="001C06E3" w:rsidP="001C06E3">
      <w:pPr>
        <w:spacing w:after="140" w:line="272" w:lineRule="auto"/>
      </w:pPr>
      <w:r>
        <w:t xml:space="preserve">In 2023 we kick-started our sub-contractor ‘emissions engagement initiative’ - requesting information relating to our emissions footprint from our Top 55 suppliers that account for 79% of our total sub-contractor spend (2024 </w:t>
      </w:r>
      <w:r w:rsidR="000A0287">
        <w:t xml:space="preserve">audit </w:t>
      </w:r>
      <w:r>
        <w:t xml:space="preserve">pareto </w:t>
      </w:r>
      <w:r w:rsidR="000A0287">
        <w:t xml:space="preserve">purchasing </w:t>
      </w:r>
      <w:r>
        <w:t>data).</w:t>
      </w:r>
    </w:p>
    <w:p w14:paraId="05273DCB" w14:textId="77777777" w:rsidR="001C06E3" w:rsidRDefault="001C06E3" w:rsidP="001C06E3">
      <w:pPr>
        <w:spacing w:after="140" w:line="272" w:lineRule="auto"/>
      </w:pPr>
      <w:r>
        <w:t xml:space="preserve">This will continue to be a key strategic thrust for the business in 2025 as we seek to build on this dialogue with our key partners to drive down emissions on projects through closer collaboration and investigation of lower carbon alternatives as well as the accurate measurement of our supply chain emissions. (see also below).  </w:t>
      </w:r>
    </w:p>
    <w:p w14:paraId="12FE6492" w14:textId="677C9488" w:rsidR="001C06E3" w:rsidRDefault="001C06E3" w:rsidP="001C06E3">
      <w:pPr>
        <w:spacing w:after="140" w:line="272" w:lineRule="auto"/>
      </w:pPr>
      <w:r>
        <w:t xml:space="preserve">‘Upfront’ carbon’ is a significant construction industry emissions contributor globally. Steel, insulation, bricks, timber, concrete </w:t>
      </w:r>
      <w:proofErr w:type="gramStart"/>
      <w:r>
        <w:t>in particular are</w:t>
      </w:r>
      <w:proofErr w:type="gramEnd"/>
      <w:r>
        <w:t xml:space="preserve"> the primary contributors here in terms of CO2e. </w:t>
      </w:r>
    </w:p>
    <w:p w14:paraId="0DFB8329" w14:textId="77777777" w:rsidR="00C72A73" w:rsidRDefault="00C72A73" w:rsidP="001C06E3">
      <w:pPr>
        <w:spacing w:after="140" w:line="272" w:lineRule="auto"/>
      </w:pPr>
    </w:p>
    <w:p w14:paraId="3FAAE478" w14:textId="4321CDE9" w:rsidR="001C06E3" w:rsidRDefault="001C06E3" w:rsidP="001C06E3">
      <w:pPr>
        <w:spacing w:after="140" w:line="272" w:lineRule="auto"/>
      </w:pPr>
      <w:r>
        <w:lastRenderedPageBreak/>
        <w:t>We have reduced our emissions associated with ‘Direct Purchases’ of building materials by 24% in 2024</w:t>
      </w:r>
      <w:r w:rsidR="00C22DEE">
        <w:t xml:space="preserve"> or 1120 tCO2e</w:t>
      </w:r>
      <w:r>
        <w:t>. The sourcing of ‘lower carbon’ alternatives must continue to be a priority at ‘estimating’ stage helping to facilitate more informed client decision making on emissions reduction.</w:t>
      </w:r>
    </w:p>
    <w:p w14:paraId="175DD649" w14:textId="77777777" w:rsidR="00A97AA4" w:rsidRDefault="00A97AA4" w:rsidP="00A97AA4">
      <w:pPr>
        <w:spacing w:after="140" w:line="272" w:lineRule="auto"/>
      </w:pPr>
      <w:r>
        <w:t>New for 2024 we have identified spend by procurement category/taxonomy to enable us to drill down further into our supply chain emissions and work more closely with both our direct materials suppliers and sub-contractors.</w:t>
      </w:r>
    </w:p>
    <w:p w14:paraId="4BD49FFB" w14:textId="664C8D64" w:rsidR="001C06E3" w:rsidRDefault="00A97AA4">
      <w:pPr>
        <w:spacing w:after="140" w:line="272" w:lineRule="auto"/>
      </w:pPr>
      <w:r>
        <w:t xml:space="preserve">We now need to ensure this message is re-enforced through our estimating/buying teams with lower carbon solutions feeding into our final tendering proposals supported by our ‘Causeway’ software solution enabling us to put forward ROI vs. </w:t>
      </w:r>
      <w:proofErr w:type="gramStart"/>
      <w:r>
        <w:t>emissions reduction based</w:t>
      </w:r>
      <w:proofErr w:type="gramEnd"/>
      <w:r>
        <w:t xml:space="preserve"> arguments to our clients.</w:t>
      </w:r>
    </w:p>
    <w:p w14:paraId="2F050D9C" w14:textId="77777777" w:rsidR="00C82F14" w:rsidRDefault="00C738A5">
      <w:pPr>
        <w:spacing w:after="140" w:line="272" w:lineRule="auto"/>
      </w:pPr>
      <w:r>
        <w:t xml:space="preserve">In 2023/24 we have been part of a consortium building </w:t>
      </w:r>
      <w:r w:rsidR="00FB3F1C">
        <w:t xml:space="preserve">a </w:t>
      </w:r>
      <w:r>
        <w:t xml:space="preserve">new ‘modular’ footbridge solution for </w:t>
      </w:r>
      <w:r w:rsidR="00FB3F1C">
        <w:t xml:space="preserve">railway platforms. </w:t>
      </w:r>
      <w:proofErr w:type="gramStart"/>
      <w:r w:rsidR="00FB3F1C">
        <w:t>In order to</w:t>
      </w:r>
      <w:proofErr w:type="gramEnd"/>
      <w:r w:rsidR="00FB3F1C">
        <w:t xml:space="preserve"> make the project as sustain</w:t>
      </w:r>
      <w:r w:rsidR="009410FC">
        <w:t>a</w:t>
      </w:r>
      <w:r w:rsidR="00FB3F1C">
        <w:t xml:space="preserve">ble as possible we have used recycled steel in </w:t>
      </w:r>
      <w:proofErr w:type="spellStart"/>
      <w:proofErr w:type="gramStart"/>
      <w:r w:rsidR="00FB3F1C">
        <w:t>it’s</w:t>
      </w:r>
      <w:proofErr w:type="spellEnd"/>
      <w:proofErr w:type="gramEnd"/>
      <w:r w:rsidR="00FB3F1C">
        <w:t xml:space="preserve"> construction. </w:t>
      </w:r>
    </w:p>
    <w:p w14:paraId="4912D3AE" w14:textId="6C86E754" w:rsidR="00C738A5" w:rsidRDefault="00FB3F1C">
      <w:pPr>
        <w:spacing w:after="140" w:line="272" w:lineRule="auto"/>
      </w:pPr>
      <w:r>
        <w:t>Using Gov.</w:t>
      </w:r>
      <w:r w:rsidR="00C82F14">
        <w:t>UK</w:t>
      </w:r>
      <w:r>
        <w:t xml:space="preserve"> conversion f</w:t>
      </w:r>
      <w:r w:rsidR="00C82F14">
        <w:t>a</w:t>
      </w:r>
      <w:r>
        <w:t>ctors</w:t>
      </w:r>
      <w:r w:rsidR="00C82F14">
        <w:t>,</w:t>
      </w:r>
      <w:r>
        <w:t xml:space="preserve"> and </w:t>
      </w:r>
      <w:r w:rsidR="00561241">
        <w:t xml:space="preserve">knowing the weight </w:t>
      </w:r>
      <w:r w:rsidR="00C82F14">
        <w:t>o</w:t>
      </w:r>
      <w:r w:rsidR="00561241">
        <w:t>f st</w:t>
      </w:r>
      <w:r w:rsidR="00C82F14">
        <w:t>eel</w:t>
      </w:r>
      <w:r w:rsidR="00561241">
        <w:t xml:space="preserve"> used, we have been able to calculate a </w:t>
      </w:r>
      <w:r w:rsidR="00C82F14">
        <w:t>direct s</w:t>
      </w:r>
      <w:r w:rsidR="00561241">
        <w:t>a</w:t>
      </w:r>
      <w:r w:rsidR="00C82F14">
        <w:t>v</w:t>
      </w:r>
      <w:r w:rsidR="00561241">
        <w:t xml:space="preserve">ing of </w:t>
      </w:r>
      <w:r w:rsidR="009410FC">
        <w:t>125 tCO2e alone for this single prototype project</w:t>
      </w:r>
      <w:r w:rsidR="00C82F14">
        <w:t>.</w:t>
      </w:r>
    </w:p>
    <w:p w14:paraId="069E0680" w14:textId="499AEF31" w:rsidR="00A6654C" w:rsidRDefault="00A6654C">
      <w:pPr>
        <w:spacing w:after="140" w:line="272" w:lineRule="auto"/>
      </w:pPr>
      <w:r>
        <w:t>In total we have saved</w:t>
      </w:r>
      <w:r w:rsidR="00C146B1">
        <w:t xml:space="preserve"> </w:t>
      </w:r>
      <w:r w:rsidR="00751F07">
        <w:t xml:space="preserve">an additional </w:t>
      </w:r>
      <w:r w:rsidR="00F25823">
        <w:t>855</w:t>
      </w:r>
      <w:r w:rsidR="00060771">
        <w:t xml:space="preserve"> </w:t>
      </w:r>
      <w:r w:rsidR="003F727B">
        <w:t>tCO2e</w:t>
      </w:r>
      <w:r w:rsidR="00060771">
        <w:t xml:space="preserve"> through </w:t>
      </w:r>
      <w:r w:rsidR="00F25823">
        <w:t xml:space="preserve">our subcontractor emissions reduction </w:t>
      </w:r>
      <w:r w:rsidR="00060771">
        <w:t>initiatives in 2024.</w:t>
      </w:r>
    </w:p>
    <w:p w14:paraId="3294B1C1" w14:textId="7D28EA78" w:rsidR="00A6654C" w:rsidRPr="00A6654C" w:rsidRDefault="00A6654C" w:rsidP="00A6654C">
      <w:pPr>
        <w:spacing w:after="140" w:line="272" w:lineRule="auto"/>
        <w:rPr>
          <w:b/>
          <w:bCs/>
        </w:rPr>
      </w:pPr>
      <w:r w:rsidRPr="00A6654C">
        <w:rPr>
          <w:b/>
          <w:bCs/>
        </w:rPr>
        <w:t>Scope 3 Waste Emissions Initiatives</w:t>
      </w:r>
      <w:r w:rsidR="00F9288D">
        <w:rPr>
          <w:b/>
          <w:bCs/>
        </w:rPr>
        <w:t>.</w:t>
      </w:r>
    </w:p>
    <w:p w14:paraId="0D73FA14" w14:textId="77777777" w:rsidR="00A6654C" w:rsidRDefault="00A6654C" w:rsidP="00A6654C">
      <w:pPr>
        <w:spacing w:after="140" w:line="272" w:lineRule="auto"/>
      </w:pPr>
      <w:r>
        <w:t>We have reduced our associated waste emissions by 10 tonnes or 14% in 2024 through smarter use of initiatives like soil stabilisation and re-use of materials on site e.g. crushing. This has significantly reduced the need for ‘muck-away’ waste removal and is an important ‘circularity’ objective.</w:t>
      </w:r>
    </w:p>
    <w:p w14:paraId="354D9740" w14:textId="1E8BAE98" w:rsidR="00A6654C" w:rsidRDefault="00A6654C" w:rsidP="00A6654C">
      <w:pPr>
        <w:spacing w:after="140" w:line="272" w:lineRule="auto"/>
      </w:pPr>
      <w:r>
        <w:t>As part of our sustainability strategy training away day held on April 18th</w:t>
      </w:r>
      <w:r w:rsidR="00471470">
        <w:t>, 2024</w:t>
      </w:r>
      <w:r>
        <w:t xml:space="preserve">, we identified three business process opportunities </w:t>
      </w:r>
      <w:proofErr w:type="gramStart"/>
      <w:r>
        <w:t>to;</w:t>
      </w:r>
      <w:proofErr w:type="gramEnd"/>
    </w:p>
    <w:p w14:paraId="7CB03EC0" w14:textId="77777777" w:rsidR="00A6654C" w:rsidRDefault="00A6654C" w:rsidP="00A6654C">
      <w:pPr>
        <w:spacing w:after="140" w:line="272" w:lineRule="auto"/>
      </w:pPr>
      <w:r>
        <w:t>1.</w:t>
      </w:r>
      <w:r>
        <w:tab/>
        <w:t>drive greater ‘uptake’ of soil stabilisation activity on site</w:t>
      </w:r>
    </w:p>
    <w:p w14:paraId="1064370D" w14:textId="77777777" w:rsidR="00A6654C" w:rsidRDefault="00A6654C" w:rsidP="00555B1D">
      <w:pPr>
        <w:spacing w:after="140" w:line="272" w:lineRule="auto"/>
        <w:ind w:left="720" w:hanging="720"/>
      </w:pPr>
      <w:r>
        <w:t>2.</w:t>
      </w:r>
      <w:r>
        <w:tab/>
        <w:t>carry out more on-site processing of waste materials e.g. hardcore where possible for direct reuse as part of the construction process</w:t>
      </w:r>
    </w:p>
    <w:p w14:paraId="6FA0A564" w14:textId="77777777" w:rsidR="00A6654C" w:rsidRDefault="00A6654C" w:rsidP="00555B1D">
      <w:pPr>
        <w:spacing w:after="140" w:line="272" w:lineRule="auto"/>
        <w:ind w:left="720" w:hanging="720"/>
      </w:pPr>
      <w:r>
        <w:t>3.</w:t>
      </w:r>
      <w:r>
        <w:tab/>
        <w:t>deliver ‘bio-diversity net gain’ through the creation of nature areas by working more closely with developers and local/planning authorities</w:t>
      </w:r>
    </w:p>
    <w:p w14:paraId="4F1E6581" w14:textId="27AB9968" w:rsidR="00C008A0" w:rsidRDefault="00A6654C" w:rsidP="00A6654C">
      <w:pPr>
        <w:spacing w:after="140" w:line="272" w:lineRule="auto"/>
      </w:pPr>
      <w:r>
        <w:t>We will continue to look for intelligent ways to further reduce our emissions here in 2025.</w:t>
      </w:r>
    </w:p>
    <w:p w14:paraId="241FCDF2" w14:textId="77777777" w:rsidR="00C008A0" w:rsidRDefault="00C008A0" w:rsidP="00C008A0">
      <w:pPr>
        <w:spacing w:after="140" w:line="272" w:lineRule="auto"/>
      </w:pPr>
      <w:r w:rsidRPr="00C008A0">
        <w:rPr>
          <w:b/>
          <w:bCs/>
        </w:rPr>
        <w:t>Scope 3 Daily Operations Initiatives.</w:t>
      </w:r>
      <w:r>
        <w:t xml:space="preserve"> </w:t>
      </w:r>
    </w:p>
    <w:p w14:paraId="47F9FF84" w14:textId="448FB2C1" w:rsidR="00C008A0" w:rsidRDefault="00C008A0" w:rsidP="00C008A0">
      <w:pPr>
        <w:spacing w:after="140" w:line="272" w:lineRule="auto"/>
      </w:pPr>
      <w:r>
        <w:t xml:space="preserve">We have reduced our emissions here by </w:t>
      </w:r>
      <w:r w:rsidR="00BD4991">
        <w:t xml:space="preserve">7 tCO2e in 2024. </w:t>
      </w:r>
    </w:p>
    <w:p w14:paraId="20494581" w14:textId="5CCC45C4" w:rsidR="00C008A0" w:rsidRDefault="00C008A0" w:rsidP="00C008A0">
      <w:pPr>
        <w:spacing w:after="140" w:line="272" w:lineRule="auto"/>
      </w:pPr>
      <w:r>
        <w:t>As with Scope 1, fuel emissions associated with business mileage and employee commuting are the most significant emissions centres. We will look to introduce a ‘two tier’ car allowance moving forwards to incentivise the purchase of lower emissions vehicles under a certain age.</w:t>
      </w:r>
    </w:p>
    <w:p w14:paraId="1264289D" w14:textId="77777777" w:rsidR="00021E33" w:rsidRDefault="00021E33" w:rsidP="00811016">
      <w:pPr>
        <w:spacing w:after="140" w:line="272" w:lineRule="auto"/>
        <w:rPr>
          <w:b/>
          <w:bCs/>
        </w:rPr>
      </w:pPr>
    </w:p>
    <w:p w14:paraId="11E00F77" w14:textId="77777777" w:rsidR="00021E33" w:rsidRDefault="00021E33" w:rsidP="00811016">
      <w:pPr>
        <w:spacing w:after="140" w:line="272" w:lineRule="auto"/>
        <w:rPr>
          <w:b/>
          <w:bCs/>
        </w:rPr>
      </w:pPr>
    </w:p>
    <w:p w14:paraId="18B930F0" w14:textId="2776C13D" w:rsidR="00811016" w:rsidRPr="00811016" w:rsidRDefault="00811016" w:rsidP="00811016">
      <w:pPr>
        <w:spacing w:after="140" w:line="272" w:lineRule="auto"/>
        <w:rPr>
          <w:b/>
          <w:bCs/>
        </w:rPr>
      </w:pPr>
      <w:r w:rsidRPr="00811016">
        <w:rPr>
          <w:b/>
          <w:bCs/>
        </w:rPr>
        <w:lastRenderedPageBreak/>
        <w:t>Scope 2 Initiatives</w:t>
      </w:r>
    </w:p>
    <w:p w14:paraId="5FBB66F3" w14:textId="26709F1C" w:rsidR="00041CCB" w:rsidRPr="00AD478B" w:rsidRDefault="00811016" w:rsidP="006D5521">
      <w:pPr>
        <w:spacing w:after="140" w:line="272" w:lineRule="auto"/>
      </w:pPr>
      <w:r>
        <w:t xml:space="preserve">Good progress has been made in 2024 with a 12% </w:t>
      </w:r>
      <w:r w:rsidR="009A7B61">
        <w:t xml:space="preserve">(2 tCO2e) </w:t>
      </w:r>
      <w:r>
        <w:t xml:space="preserve">reduction in associated emissions. Reducing our office (Scope 2) emissions through the investment in Solar PV at the Lympne office </w:t>
      </w:r>
      <w:proofErr w:type="gramStart"/>
      <w:r>
        <w:t>in particular has</w:t>
      </w:r>
      <w:proofErr w:type="gramEnd"/>
      <w:r>
        <w:t xml:space="preserve"> paid dividends. We expect to this reduction in office emissions increase significantly in 2025 our first full year of installation</w:t>
      </w:r>
      <w:r w:rsidR="00844E23">
        <w:t xml:space="preserve"> and will also move to a </w:t>
      </w:r>
      <w:proofErr w:type="gramStart"/>
      <w:r w:rsidR="00844E23">
        <w:t>Green</w:t>
      </w:r>
      <w:proofErr w:type="gramEnd"/>
      <w:r w:rsidR="00844E23">
        <w:t xml:space="preserve"> energy Tariff in 2025 for our second office in the Midlands</w:t>
      </w:r>
      <w:r w:rsidR="001172A0">
        <w:t xml:space="preserve"> in effect removing our office emissions completely</w:t>
      </w:r>
      <w:r w:rsidR="00844E23">
        <w:t>.</w:t>
      </w:r>
    </w:p>
    <w:p w14:paraId="6AB9F902" w14:textId="151B9F4F" w:rsidR="006D5521" w:rsidRPr="006D5521" w:rsidRDefault="006D5521" w:rsidP="006D5521">
      <w:pPr>
        <w:spacing w:after="140" w:line="272" w:lineRule="auto"/>
        <w:rPr>
          <w:b/>
          <w:bCs/>
        </w:rPr>
      </w:pPr>
      <w:r w:rsidRPr="006D5521">
        <w:rPr>
          <w:b/>
          <w:bCs/>
        </w:rPr>
        <w:t>Scope 1 Initiatives</w:t>
      </w:r>
    </w:p>
    <w:p w14:paraId="44DF3EE5" w14:textId="0CA62C27" w:rsidR="006D5521" w:rsidRDefault="006D5521" w:rsidP="006D5521">
      <w:pPr>
        <w:spacing w:after="140" w:line="272" w:lineRule="auto"/>
      </w:pPr>
      <w:r>
        <w:t xml:space="preserve">Scope 1 emissions from company </w:t>
      </w:r>
      <w:r w:rsidRPr="00AC1216">
        <w:t>vehicles</w:t>
      </w:r>
      <w:r>
        <w:t xml:space="preserve"> and site fuel usage remain a challenge. </w:t>
      </w:r>
      <w:r w:rsidR="00441198">
        <w:t xml:space="preserve">Despite this </w:t>
      </w:r>
      <w:r>
        <w:t>we have generated 33 t</w:t>
      </w:r>
      <w:r w:rsidR="009F59EB">
        <w:t xml:space="preserve">CO2e </w:t>
      </w:r>
      <w:r>
        <w:t xml:space="preserve">savings </w:t>
      </w:r>
      <w:r w:rsidR="00520136">
        <w:t xml:space="preserve">overall </w:t>
      </w:r>
      <w:r>
        <w:t xml:space="preserve">during </w:t>
      </w:r>
      <w:r w:rsidR="00441198">
        <w:t>2024.</w:t>
      </w:r>
      <w:r>
        <w:t xml:space="preserve"> </w:t>
      </w:r>
    </w:p>
    <w:p w14:paraId="437CBED1" w14:textId="77777777" w:rsidR="006D5521" w:rsidRDefault="006D5521" w:rsidP="006D5521">
      <w:pPr>
        <w:spacing w:after="140" w:line="272" w:lineRule="auto"/>
      </w:pPr>
      <w:r>
        <w:t xml:space="preserve">Our EV salary sacrifice scheme has proved largely ineffectual due to the nature of the </w:t>
      </w:r>
      <w:proofErr w:type="gramStart"/>
      <w:r>
        <w:t>often long</w:t>
      </w:r>
      <w:proofErr w:type="gramEnd"/>
      <w:r>
        <w:t xml:space="preserve"> distances our staff need to travel and the practicalities of charging on the go! At present EV’s do not make sense for our business and as such staff take up has been low! Take up of </w:t>
      </w:r>
      <w:proofErr w:type="gramStart"/>
      <w:r>
        <w:t>non EV</w:t>
      </w:r>
      <w:proofErr w:type="gramEnd"/>
      <w:r>
        <w:t xml:space="preserve"> company car options </w:t>
      </w:r>
      <w:proofErr w:type="gramStart"/>
      <w:r>
        <w:t>has</w:t>
      </w:r>
      <w:proofErr w:type="gramEnd"/>
      <w:r>
        <w:t xml:space="preserve"> </w:t>
      </w:r>
      <w:proofErr w:type="gramStart"/>
      <w:r>
        <w:t>actually increased</w:t>
      </w:r>
      <w:proofErr w:type="gramEnd"/>
      <w:r>
        <w:t xml:space="preserve"> in the business, with a corresponding decline witnessed in private vehicle business mileage.</w:t>
      </w:r>
    </w:p>
    <w:p w14:paraId="3A5C9611" w14:textId="4DE0E3A0" w:rsidR="006D5521" w:rsidRDefault="006D5521" w:rsidP="006D5521">
      <w:pPr>
        <w:spacing w:after="140" w:line="272" w:lineRule="auto"/>
      </w:pPr>
      <w:r>
        <w:t>HVO/</w:t>
      </w:r>
      <w:proofErr w:type="gramStart"/>
      <w:r>
        <w:t>Bio Fuel</w:t>
      </w:r>
      <w:proofErr w:type="gramEnd"/>
      <w:r>
        <w:t xml:space="preserve"> remains at a 25% cost premium and unless we have a specific mandate from our client to use this as a ‘greener’ fuel alternative, cost pressures dictate we use more traditional diesel fuel.  99 tCO2e savings were made during the year </w:t>
      </w:r>
      <w:proofErr w:type="gramStart"/>
      <w:r>
        <w:t>as a result of</w:t>
      </w:r>
      <w:proofErr w:type="gramEnd"/>
      <w:r>
        <w:t xml:space="preserve"> overall lower consumption</w:t>
      </w:r>
      <w:r w:rsidR="00482E08">
        <w:t xml:space="preserve"> of site fuel</w:t>
      </w:r>
      <w:r w:rsidR="00613FF0">
        <w:t>.</w:t>
      </w:r>
      <w:r w:rsidR="00482E08">
        <w:t xml:space="preserve"> </w:t>
      </w:r>
    </w:p>
    <w:p w14:paraId="6B36CDCF" w14:textId="11A6AAFB" w:rsidR="00410078" w:rsidRDefault="006D5521" w:rsidP="006D5521">
      <w:pPr>
        <w:spacing w:after="140" w:line="272" w:lineRule="auto"/>
      </w:pPr>
      <w:r>
        <w:t>Commercial vehicle emissions have decreased by 14 tonnes CO2e and our ‘stay away’ policy for commuting distances of 2+ hours is an important factor here.</w:t>
      </w:r>
    </w:p>
    <w:p w14:paraId="78E9AA15" w14:textId="47F18452" w:rsidR="00EB2733" w:rsidRDefault="00EB2733" w:rsidP="006D5521">
      <w:pPr>
        <w:spacing w:after="140" w:line="272" w:lineRule="auto"/>
      </w:pPr>
      <w:r w:rsidRPr="00EB2733">
        <w:t xml:space="preserve">ISO 14001 &amp; 9001 accreditation is already in </w:t>
      </w:r>
      <w:proofErr w:type="gramStart"/>
      <w:r w:rsidRPr="00EB2733">
        <w:t>place</w:t>
      </w:r>
      <w:proofErr w:type="gramEnd"/>
      <w:r w:rsidRPr="00EB2733">
        <w:t xml:space="preserve"> and we will work towards maintaining this year on year.</w:t>
      </w:r>
    </w:p>
    <w:p w14:paraId="61B5E850" w14:textId="4C965967" w:rsidR="00920F45" w:rsidRDefault="007B5904">
      <w:pPr>
        <w:pStyle w:val="Heading1"/>
        <w:spacing w:before="360" w:line="248" w:lineRule="auto"/>
        <w:rPr>
          <w:b/>
          <w:sz w:val="28"/>
          <w:szCs w:val="28"/>
        </w:rPr>
      </w:pPr>
      <w:bookmarkStart w:id="26" w:name="_3j2qqm3" w:colFirst="0" w:colLast="0"/>
      <w:bookmarkEnd w:id="26"/>
      <w:r>
        <w:rPr>
          <w:b/>
          <w:sz w:val="28"/>
          <w:szCs w:val="28"/>
        </w:rPr>
        <w:t xml:space="preserve">Declaration and Sign Off </w:t>
      </w:r>
    </w:p>
    <w:p w14:paraId="1A9E2174" w14:textId="77777777" w:rsidR="00920F45" w:rsidRDefault="007B5904">
      <w:pPr>
        <w:spacing w:after="300" w:line="248" w:lineRule="auto"/>
      </w:pPr>
      <w:r>
        <w:t>This Carbon Reduction Plan has been completed in accordance with PP</w:t>
      </w:r>
      <w:r w:rsidR="00A03E91">
        <w:t>N 06</w:t>
      </w:r>
      <w:r>
        <w:t xml:space="preserve">/21 and associated guidance and reporting standard for Carbon Reduction Plans. </w:t>
      </w:r>
    </w:p>
    <w:p w14:paraId="3F761131" w14:textId="6C1A286C" w:rsidR="00920F45" w:rsidRDefault="007B5904">
      <w:pPr>
        <w:spacing w:after="300" w:line="248" w:lineRule="auto"/>
        <w:rPr>
          <w:color w:val="0B0C0C"/>
        </w:rPr>
      </w:pPr>
      <w:r>
        <w:t>Emissions have been reported and recorded in accordance with</w:t>
      </w:r>
      <w:r>
        <w:rPr>
          <w:color w:val="0B0C0C"/>
        </w:rPr>
        <w:t xml:space="preserve"> the published reporting standard for Carbon Reduction Plans and the </w:t>
      </w:r>
      <w:r w:rsidRPr="005F567B">
        <w:rPr>
          <w:color w:val="000000" w:themeColor="text1"/>
        </w:rPr>
        <w:t>GHG Reporting Protocol corporate standard</w:t>
      </w:r>
      <w:r w:rsidR="00B20460" w:rsidRPr="005F567B">
        <w:rPr>
          <w:rStyle w:val="FootnoteReference"/>
          <w:color w:val="000000" w:themeColor="text1"/>
        </w:rPr>
        <w:footnoteReference w:id="1"/>
      </w:r>
      <w:r w:rsidRPr="005F567B">
        <w:rPr>
          <w:color w:val="000000" w:themeColor="text1"/>
        </w:rPr>
        <w:t xml:space="preserve"> </w:t>
      </w:r>
      <w:r>
        <w:rPr>
          <w:color w:val="0B0C0C"/>
        </w:rPr>
        <w:t>and uses the appropri</w:t>
      </w:r>
      <w:r w:rsidRPr="005F567B">
        <w:rPr>
          <w:color w:val="000000" w:themeColor="text1"/>
        </w:rPr>
        <w:t xml:space="preserve">ate </w:t>
      </w:r>
      <w:hyperlink r:id="rId12">
        <w:r w:rsidRPr="005F567B">
          <w:rPr>
            <w:color w:val="000000" w:themeColor="text1"/>
          </w:rPr>
          <w:t>Government emission conversion factors for greenhouse gas company reporting</w:t>
        </w:r>
      </w:hyperlink>
      <w:r w:rsidR="005F567B" w:rsidRPr="005F567B">
        <w:rPr>
          <w:rStyle w:val="FootnoteReference"/>
          <w:color w:val="000000" w:themeColor="text1"/>
        </w:rPr>
        <w:footnoteReference w:id="2"/>
      </w:r>
      <w:r w:rsidRPr="005F567B">
        <w:rPr>
          <w:color w:val="000000" w:themeColor="text1"/>
        </w:rPr>
        <w:t>.</w:t>
      </w:r>
    </w:p>
    <w:p w14:paraId="2F7E6B87" w14:textId="2FF5F729" w:rsidR="00920F45" w:rsidRPr="005F567B" w:rsidRDefault="007B5904">
      <w:pPr>
        <w:spacing w:after="300" w:line="248" w:lineRule="auto"/>
        <w:rPr>
          <w:color w:val="000000" w:themeColor="text1"/>
        </w:rPr>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sidRPr="005F567B">
        <w:rPr>
          <w:color w:val="000000" w:themeColor="text1"/>
        </w:rPr>
        <w:t>Corporate Value Chain (Scope 3) Standard</w:t>
      </w:r>
      <w:r w:rsidR="005F567B">
        <w:rPr>
          <w:rStyle w:val="FootnoteReference"/>
          <w:color w:val="000000" w:themeColor="text1"/>
        </w:rPr>
        <w:footnoteReference w:id="3"/>
      </w:r>
      <w:r w:rsidRPr="005F567B">
        <w:rPr>
          <w:color w:val="000000" w:themeColor="text1"/>
        </w:rPr>
        <w:t>.</w:t>
      </w:r>
    </w:p>
    <w:p w14:paraId="1FEFF502" w14:textId="77777777" w:rsidR="00920F45" w:rsidRDefault="007B5904">
      <w:pPr>
        <w:spacing w:after="300" w:line="248" w:lineRule="auto"/>
        <w:rPr>
          <w:color w:val="0B0C0C"/>
        </w:rPr>
      </w:pPr>
      <w:r>
        <w:rPr>
          <w:color w:val="0B0C0C"/>
        </w:rPr>
        <w:t xml:space="preserve">This Carbon Reduction Plan has been reviewed and signed off </w:t>
      </w:r>
      <w:r>
        <w:t>by the board of directors (or equivalent management body).</w:t>
      </w:r>
    </w:p>
    <w:p w14:paraId="539714D5" w14:textId="77777777" w:rsidR="00920F45" w:rsidRDefault="007B5904">
      <w:pPr>
        <w:pStyle w:val="Heading4"/>
        <w:spacing w:after="300" w:line="248" w:lineRule="auto"/>
      </w:pPr>
      <w:bookmarkStart w:id="27" w:name="_wwi8f1gfuqaf" w:colFirst="0" w:colLast="0"/>
      <w:bookmarkEnd w:id="27"/>
      <w:r>
        <w:lastRenderedPageBreak/>
        <w:t>Signed on behalf of the Supplier:</w:t>
      </w:r>
    </w:p>
    <w:p w14:paraId="467066C1" w14:textId="77777777" w:rsidR="003C39E9" w:rsidRDefault="003C39E9">
      <w:pPr>
        <w:spacing w:after="300" w:line="248" w:lineRule="auto"/>
        <w:rPr>
          <w:color w:val="0B0C0C"/>
        </w:rPr>
      </w:pPr>
      <w:r>
        <w:rPr>
          <w:noProof/>
          <w:lang w:eastAsia="en-GB"/>
        </w:rPr>
        <w:drawing>
          <wp:inline distT="0" distB="0" distL="0" distR="0" wp14:anchorId="29FAA5CA" wp14:editId="039CF25B">
            <wp:extent cx="1707732" cy="723894"/>
            <wp:effectExtent l="0" t="0" r="6985" b="635"/>
            <wp:docPr id="1" name="Picture 1" descr="A black text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with a circle in the midd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637" cy="767091"/>
                    </a:xfrm>
                    <a:prstGeom prst="rect">
                      <a:avLst/>
                    </a:prstGeom>
                    <a:noFill/>
                    <a:ln>
                      <a:noFill/>
                    </a:ln>
                  </pic:spPr>
                </pic:pic>
              </a:graphicData>
            </a:graphic>
          </wp:inline>
        </w:drawing>
      </w:r>
    </w:p>
    <w:p w14:paraId="3924420E" w14:textId="1F381AFF" w:rsidR="00920F45" w:rsidRDefault="007B5904">
      <w:pPr>
        <w:spacing w:after="300" w:line="248" w:lineRule="auto"/>
        <w:rPr>
          <w:color w:val="0B0C0C"/>
        </w:rPr>
      </w:pPr>
      <w:r>
        <w:rPr>
          <w:color w:val="0B0C0C"/>
        </w:rPr>
        <w:t>………………………………………………………………….</w:t>
      </w:r>
    </w:p>
    <w:p w14:paraId="3F06F6BE" w14:textId="12DBF89B" w:rsidR="00920F45" w:rsidRDefault="007B5904">
      <w:pPr>
        <w:spacing w:after="300" w:line="248" w:lineRule="auto"/>
        <w:rPr>
          <w:color w:val="0B0C0C"/>
        </w:rPr>
      </w:pPr>
      <w:r>
        <w:rPr>
          <w:color w:val="0B0C0C"/>
        </w:rPr>
        <w:t>Date: …</w:t>
      </w:r>
      <w:r w:rsidR="003C39E9">
        <w:rPr>
          <w:color w:val="0B0C0C"/>
        </w:rPr>
        <w:t>01/04/2025</w:t>
      </w:r>
      <w:r>
        <w:rPr>
          <w:color w:val="0B0C0C"/>
        </w:rPr>
        <w:t xml:space="preserve">…………………….………. </w:t>
      </w:r>
    </w:p>
    <w:p w14:paraId="430ABBA2" w14:textId="77777777" w:rsidR="00920F45" w:rsidRDefault="00920F45">
      <w:pPr>
        <w:rPr>
          <w:highlight w:val="yellow"/>
        </w:rPr>
      </w:pPr>
      <w:bookmarkStart w:id="28" w:name="_1y810tw" w:colFirst="0" w:colLast="0"/>
      <w:bookmarkStart w:id="29" w:name="_4i7ojhp" w:colFirst="0" w:colLast="0"/>
      <w:bookmarkEnd w:id="28"/>
      <w:bookmarkEnd w:id="29"/>
    </w:p>
    <w:sectPr w:rsidR="00920F45">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7482" w14:textId="77777777" w:rsidR="003D32E2" w:rsidRDefault="003D32E2">
      <w:pPr>
        <w:spacing w:line="240" w:lineRule="auto"/>
      </w:pPr>
      <w:r>
        <w:separator/>
      </w:r>
    </w:p>
  </w:endnote>
  <w:endnote w:type="continuationSeparator" w:id="0">
    <w:p w14:paraId="578F390A" w14:textId="77777777" w:rsidR="003D32E2" w:rsidRDefault="003D3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D3D7" w14:textId="77777777" w:rsidR="003D32E2" w:rsidRDefault="003D32E2">
      <w:pPr>
        <w:spacing w:line="240" w:lineRule="auto"/>
      </w:pPr>
      <w:r>
        <w:separator/>
      </w:r>
    </w:p>
  </w:footnote>
  <w:footnote w:type="continuationSeparator" w:id="0">
    <w:p w14:paraId="59C77B9C" w14:textId="77777777" w:rsidR="003D32E2" w:rsidRDefault="003D32E2">
      <w:pPr>
        <w:spacing w:line="240" w:lineRule="auto"/>
      </w:pPr>
      <w:r>
        <w:continuationSeparator/>
      </w:r>
    </w:p>
  </w:footnote>
  <w:footnote w:id="1">
    <w:p w14:paraId="207ADB4C" w14:textId="39123604" w:rsidR="00B20460" w:rsidRDefault="00B20460">
      <w:pPr>
        <w:pStyle w:val="FootnoteText"/>
      </w:pPr>
      <w:r>
        <w:rPr>
          <w:rStyle w:val="FootnoteReference"/>
        </w:rPr>
        <w:footnoteRef/>
      </w:r>
      <w:r>
        <w:t xml:space="preserve"> </w:t>
      </w:r>
      <w:hyperlink r:id="rId1" w:history="1">
        <w:r w:rsidRPr="007F1C3D">
          <w:rPr>
            <w:rStyle w:val="Hyperlink"/>
          </w:rPr>
          <w:t>https://ghgprotocol.org/corporate-standard</w:t>
        </w:r>
      </w:hyperlink>
      <w:r>
        <w:t xml:space="preserve"> </w:t>
      </w:r>
    </w:p>
  </w:footnote>
  <w:footnote w:id="2">
    <w:p w14:paraId="428D9545" w14:textId="5D27C236" w:rsidR="005F567B" w:rsidRDefault="005F567B">
      <w:pPr>
        <w:pStyle w:val="FootnoteText"/>
      </w:pPr>
      <w:r>
        <w:rPr>
          <w:rStyle w:val="FootnoteReference"/>
        </w:rPr>
        <w:footnoteRef/>
      </w:r>
      <w:r>
        <w:t xml:space="preserve"> </w:t>
      </w:r>
      <w:hyperlink r:id="rId2" w:history="1">
        <w:r w:rsidRPr="007F1C3D">
          <w:rPr>
            <w:rStyle w:val="Hyperlink"/>
          </w:rPr>
          <w:t>https://www.gov.uk/government/collections/government-conversion-factors-for-company-reporting</w:t>
        </w:r>
      </w:hyperlink>
      <w:r>
        <w:t xml:space="preserve"> </w:t>
      </w:r>
    </w:p>
  </w:footnote>
  <w:footnote w:id="3">
    <w:p w14:paraId="0A17AFEC" w14:textId="1A74B561" w:rsidR="005F567B" w:rsidRDefault="005F567B">
      <w:pPr>
        <w:pStyle w:val="FootnoteText"/>
      </w:pPr>
      <w:r>
        <w:rPr>
          <w:rStyle w:val="FootnoteReference"/>
        </w:rPr>
        <w:footnoteRef/>
      </w:r>
      <w:r>
        <w:t xml:space="preserve"> </w:t>
      </w:r>
      <w:hyperlink r:id="rId3" w:history="1">
        <w:r w:rsidRPr="007F1C3D">
          <w:rPr>
            <w:rStyle w:val="Hyperlink"/>
          </w:rPr>
          <w:t>https://ghgprotocol.org/standards/scope-3-standard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6C6B" w14:textId="77777777" w:rsidR="00920F45" w:rsidRDefault="00920F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2575"/>
    <w:multiLevelType w:val="hybridMultilevel"/>
    <w:tmpl w:val="52E2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464CB"/>
    <w:multiLevelType w:val="multilevel"/>
    <w:tmpl w:val="3C32C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AD75D3"/>
    <w:multiLevelType w:val="multilevel"/>
    <w:tmpl w:val="EF145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0879402">
    <w:abstractNumId w:val="1"/>
  </w:num>
  <w:num w:numId="2" w16cid:durableId="2029331714">
    <w:abstractNumId w:val="2"/>
  </w:num>
  <w:num w:numId="3" w16cid:durableId="15180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45"/>
    <w:rsid w:val="00021E33"/>
    <w:rsid w:val="00022D2D"/>
    <w:rsid w:val="00041CCB"/>
    <w:rsid w:val="00060771"/>
    <w:rsid w:val="00065C8E"/>
    <w:rsid w:val="00077374"/>
    <w:rsid w:val="000A0287"/>
    <w:rsid w:val="000A0646"/>
    <w:rsid w:val="000C7935"/>
    <w:rsid w:val="000C7B3E"/>
    <w:rsid w:val="000E6C94"/>
    <w:rsid w:val="00105225"/>
    <w:rsid w:val="001172A0"/>
    <w:rsid w:val="00124109"/>
    <w:rsid w:val="001260A0"/>
    <w:rsid w:val="0012740E"/>
    <w:rsid w:val="00135DF0"/>
    <w:rsid w:val="001529AE"/>
    <w:rsid w:val="00163724"/>
    <w:rsid w:val="001C06E3"/>
    <w:rsid w:val="001D020F"/>
    <w:rsid w:val="002A2D5A"/>
    <w:rsid w:val="002A56C6"/>
    <w:rsid w:val="002E0B9F"/>
    <w:rsid w:val="00316500"/>
    <w:rsid w:val="003363B9"/>
    <w:rsid w:val="003A3E65"/>
    <w:rsid w:val="003B0BAD"/>
    <w:rsid w:val="003B3884"/>
    <w:rsid w:val="003C39E9"/>
    <w:rsid w:val="003D32E2"/>
    <w:rsid w:val="003F727B"/>
    <w:rsid w:val="00410078"/>
    <w:rsid w:val="00417656"/>
    <w:rsid w:val="00426FF2"/>
    <w:rsid w:val="00441198"/>
    <w:rsid w:val="00471470"/>
    <w:rsid w:val="00476022"/>
    <w:rsid w:val="00482E08"/>
    <w:rsid w:val="0048765D"/>
    <w:rsid w:val="00495B5E"/>
    <w:rsid w:val="004A2693"/>
    <w:rsid w:val="004F111B"/>
    <w:rsid w:val="0051661C"/>
    <w:rsid w:val="00517520"/>
    <w:rsid w:val="00520136"/>
    <w:rsid w:val="00523201"/>
    <w:rsid w:val="00526098"/>
    <w:rsid w:val="00555B1D"/>
    <w:rsid w:val="00561241"/>
    <w:rsid w:val="005664E5"/>
    <w:rsid w:val="00580826"/>
    <w:rsid w:val="005878C9"/>
    <w:rsid w:val="005A2C36"/>
    <w:rsid w:val="005F567B"/>
    <w:rsid w:val="006020F3"/>
    <w:rsid w:val="00607C07"/>
    <w:rsid w:val="00613FF0"/>
    <w:rsid w:val="006513AA"/>
    <w:rsid w:val="006A40C9"/>
    <w:rsid w:val="006C66A7"/>
    <w:rsid w:val="006D5521"/>
    <w:rsid w:val="007045F9"/>
    <w:rsid w:val="00751F07"/>
    <w:rsid w:val="00775261"/>
    <w:rsid w:val="00780530"/>
    <w:rsid w:val="007A01E2"/>
    <w:rsid w:val="007B5904"/>
    <w:rsid w:val="007C7E34"/>
    <w:rsid w:val="00801E95"/>
    <w:rsid w:val="00811016"/>
    <w:rsid w:val="00844E23"/>
    <w:rsid w:val="00877B29"/>
    <w:rsid w:val="00883DB9"/>
    <w:rsid w:val="00893CAE"/>
    <w:rsid w:val="008B5756"/>
    <w:rsid w:val="008B630D"/>
    <w:rsid w:val="008C0A61"/>
    <w:rsid w:val="008C356E"/>
    <w:rsid w:val="00920F45"/>
    <w:rsid w:val="00932170"/>
    <w:rsid w:val="009410FC"/>
    <w:rsid w:val="00976CFA"/>
    <w:rsid w:val="00996F77"/>
    <w:rsid w:val="009A7B61"/>
    <w:rsid w:val="009C193D"/>
    <w:rsid w:val="009E78FC"/>
    <w:rsid w:val="009F59EB"/>
    <w:rsid w:val="00A03E91"/>
    <w:rsid w:val="00A062BF"/>
    <w:rsid w:val="00A36792"/>
    <w:rsid w:val="00A44896"/>
    <w:rsid w:val="00A6654C"/>
    <w:rsid w:val="00A75FF8"/>
    <w:rsid w:val="00A94F58"/>
    <w:rsid w:val="00A97AA4"/>
    <w:rsid w:val="00AC1216"/>
    <w:rsid w:val="00AC6D91"/>
    <w:rsid w:val="00AD478B"/>
    <w:rsid w:val="00AF7448"/>
    <w:rsid w:val="00B20460"/>
    <w:rsid w:val="00B24C0B"/>
    <w:rsid w:val="00B30A77"/>
    <w:rsid w:val="00B444AC"/>
    <w:rsid w:val="00B51456"/>
    <w:rsid w:val="00BD4991"/>
    <w:rsid w:val="00C008A0"/>
    <w:rsid w:val="00C062C7"/>
    <w:rsid w:val="00C146B1"/>
    <w:rsid w:val="00C22DEE"/>
    <w:rsid w:val="00C32C61"/>
    <w:rsid w:val="00C34E90"/>
    <w:rsid w:val="00C60A40"/>
    <w:rsid w:val="00C6393C"/>
    <w:rsid w:val="00C66983"/>
    <w:rsid w:val="00C72A73"/>
    <w:rsid w:val="00C738A5"/>
    <w:rsid w:val="00C82F14"/>
    <w:rsid w:val="00C863CF"/>
    <w:rsid w:val="00CB3C58"/>
    <w:rsid w:val="00CE5746"/>
    <w:rsid w:val="00D12DA6"/>
    <w:rsid w:val="00D14FB5"/>
    <w:rsid w:val="00D34262"/>
    <w:rsid w:val="00D5380C"/>
    <w:rsid w:val="00D974DF"/>
    <w:rsid w:val="00DD0F77"/>
    <w:rsid w:val="00DD3D1D"/>
    <w:rsid w:val="00DD4968"/>
    <w:rsid w:val="00DE2EB0"/>
    <w:rsid w:val="00E03CAA"/>
    <w:rsid w:val="00E142A5"/>
    <w:rsid w:val="00E42DC3"/>
    <w:rsid w:val="00E469B4"/>
    <w:rsid w:val="00EA1CAE"/>
    <w:rsid w:val="00EB2733"/>
    <w:rsid w:val="00EC52F0"/>
    <w:rsid w:val="00EE0266"/>
    <w:rsid w:val="00EE03E9"/>
    <w:rsid w:val="00EF0AFB"/>
    <w:rsid w:val="00F22780"/>
    <w:rsid w:val="00F25823"/>
    <w:rsid w:val="00F279DB"/>
    <w:rsid w:val="00F54E6D"/>
    <w:rsid w:val="00F8719D"/>
    <w:rsid w:val="00F9288D"/>
    <w:rsid w:val="00FB3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3E4B"/>
  <w15:docId w15:val="{6A7585F1-13F8-3C41-97D6-2BB5E925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after="120" w:line="273" w:lineRule="auto"/>
      <w:jc w:val="both"/>
      <w:outlineLvl w:val="3"/>
    </w:pPr>
    <w:rPr>
      <w:b/>
      <w:color w:val="00488C"/>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3E9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E91"/>
    <w:rPr>
      <w:rFonts w:ascii="Times New Roman" w:hAnsi="Times New Roman" w:cs="Times New Roman"/>
      <w:sz w:val="18"/>
      <w:szCs w:val="18"/>
    </w:rPr>
  </w:style>
  <w:style w:type="character" w:styleId="Hyperlink">
    <w:name w:val="Hyperlink"/>
    <w:basedOn w:val="DefaultParagraphFont"/>
    <w:uiPriority w:val="99"/>
    <w:unhideWhenUsed/>
    <w:rsid w:val="00B20460"/>
    <w:rPr>
      <w:color w:val="0000FF" w:themeColor="hyperlink"/>
      <w:u w:val="single"/>
    </w:rPr>
  </w:style>
  <w:style w:type="paragraph" w:styleId="FootnoteText">
    <w:name w:val="footnote text"/>
    <w:basedOn w:val="Normal"/>
    <w:link w:val="FootnoteTextChar"/>
    <w:uiPriority w:val="99"/>
    <w:semiHidden/>
    <w:unhideWhenUsed/>
    <w:rsid w:val="00B20460"/>
    <w:pPr>
      <w:spacing w:line="240" w:lineRule="auto"/>
    </w:pPr>
    <w:rPr>
      <w:sz w:val="20"/>
      <w:szCs w:val="20"/>
    </w:rPr>
  </w:style>
  <w:style w:type="character" w:customStyle="1" w:styleId="FootnoteTextChar">
    <w:name w:val="Footnote Text Char"/>
    <w:basedOn w:val="DefaultParagraphFont"/>
    <w:link w:val="FootnoteText"/>
    <w:uiPriority w:val="99"/>
    <w:semiHidden/>
    <w:rsid w:val="00B20460"/>
    <w:rPr>
      <w:sz w:val="20"/>
      <w:szCs w:val="20"/>
    </w:rPr>
  </w:style>
  <w:style w:type="character" w:styleId="FootnoteReference">
    <w:name w:val="footnote reference"/>
    <w:basedOn w:val="DefaultParagraphFont"/>
    <w:uiPriority w:val="99"/>
    <w:semiHidden/>
    <w:unhideWhenUsed/>
    <w:rsid w:val="00B20460"/>
    <w:rPr>
      <w:vertAlign w:val="superscript"/>
    </w:rPr>
  </w:style>
  <w:style w:type="character" w:styleId="UnresolvedMention">
    <w:name w:val="Unresolved Mention"/>
    <w:basedOn w:val="DefaultParagraphFont"/>
    <w:uiPriority w:val="99"/>
    <w:semiHidden/>
    <w:unhideWhenUsed/>
    <w:rsid w:val="00B20460"/>
    <w:rPr>
      <w:color w:val="605E5C"/>
      <w:shd w:val="clear" w:color="auto" w:fill="E1DFDD"/>
    </w:rPr>
  </w:style>
  <w:style w:type="paragraph" w:styleId="ListParagraph">
    <w:name w:val="List Paragraph"/>
    <w:basedOn w:val="Normal"/>
    <w:uiPriority w:val="34"/>
    <w:qFormat/>
    <w:rsid w:val="00B44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government-conversion-factors-for-company-repor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procurement-policy-note-0621-taking-account-of-carbon-reduction-plans-in-the-procurement-of-major-government-contrac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E1CD-B11D-4E34-AE35-2F75092E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1633</Words>
  <Characters>8755</Characters>
  <Application>Microsoft Office Word</Application>
  <DocSecurity>0</DocSecurity>
  <Lines>213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ppn-0621-carbon-reduction-plan-template</dc:title>
  <dc:subject>
  </dc:subject>
  <dc:creator>Katrina Browning</dc:creator>
  <cp:keywords>
  </cp:keywords>
  <cp:lastModifiedBy>Pamela Branchett</cp:lastModifiedBy>
  <cp:revision>2</cp:revision>
  <cp:lastPrinted>2021-06-03T15:20:00Z</cp:lastPrinted>
  <dcterms:created xsi:type="dcterms:W3CDTF">2025-11-03T15:54:00Z</dcterms:created>
  <dcterms:modified xsi:type="dcterms:W3CDTF">2025-11-03T15:54:00Z</dcterms:modified>
</cp:coreProperties>
</file>